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Integration Night: Choice, Consequence, and the Modes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Track window:</w:t>
      </w:r>
      <w:r>
        <w:t xml:space="preserve"> ~2:30–3:10 then reunite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the primary text layer, complete a worksheet and scenario set, and contribute one project sentence answering: How do choice, consequence, and the modes form one coherent family practice?</w:t>
      </w:r>
    </w:p>
    <w:p>
      <w:pPr>
        <w:pStyle w:val="Heading2"/>
      </w:pPr>
      <w:r>
        <w:t>Primary text observation</w:t>
      </w:r>
    </w:p>
    <w:p>
      <w:pPr>
        <w:pStyle w:val="ListNumber"/>
      </w:pPr>
      <w:r>
        <w:t>Read IAST aloud once: BG 3.9 · BG 18.63 · BG 2.22 · BG 14.5 · BG 7.14</w:t>
      </w:r>
    </w:p>
    <w:p>
      <w:pPr>
        <w:pStyle w:val="ListNumber"/>
      </w:pPr>
      <w:r>
        <w:t>Students underline two words that seem important.</w:t>
      </w:r>
    </w:p>
    <w:p>
      <w:pPr>
        <w:pStyle w:val="ListNumber"/>
      </w:pPr>
      <w:r>
        <w:t>State KUTUMBA teaching meaning in full: Choice, consequence, and the modes must form one coherent family practice — synthesis, not new doctrine.</w:t>
      </w:r>
    </w:p>
    <w:p>
      <w:pPr>
        <w:pStyle w:val="ListNumber"/>
      </w:pPr>
      <w:r>
        <w:t>Label clearly: KUTUMBA teaching meaning — not BBT translation.</w:t>
      </w:r>
    </w:p>
    <w:p>
      <w:pPr>
        <w:pStyle w:val="Heading2"/>
      </w:pPr>
      <w:r>
        <w:t>Worksheet questions</w:t>
      </w:r>
    </w:p>
    <w:p>
      <w:pPr>
        <w:pStyle w:val="ListNumber"/>
      </w:pPr>
      <w:r>
        <w:t>In your words, what does Cycle 2 review (BG 18.63 center) teach this week?</w:t>
      </w:r>
    </w:p>
    <w:p>
      <w:pPr>
        <w:pStyle w:val="ListNumber"/>
      </w:pPr>
      <w:r>
        <w:t>What mistaken idea does this week block? (Integration night means competing to sound the most advanced.)</w:t>
      </w:r>
    </w:p>
    <w:p>
      <w:pPr>
        <w:pStyle w:val="ListNumber"/>
      </w:pPr>
      <w:r>
        <w:t>Name one home situation where this teaching changes a next step.</w:t>
      </w:r>
    </w:p>
    <w:p>
      <w:pPr>
        <w:pStyle w:val="ListNumber"/>
      </w:pPr>
      <w:r>
        <w:t>What is still confusing? (honest question OK)</w:t>
      </w:r>
    </w:p>
    <w:p>
      <w:pPr>
        <w:pStyle w:val="Heading2"/>
      </w:pPr>
      <w:r>
        <w:t>Scenario cards (read–choose–explain)</w:t>
      </w:r>
    </w:p>
    <w:p>
      <w:r>
        <w:t>Stations: (1) karma/action, (2) next choice, (3) reincarnation clothing, (4) modes, (5) māyā/decorating. At each: write one sentence + one misconception to reject.</w:t>
      </w:r>
    </w:p>
    <w:p>
      <w:pPr>
        <w:pStyle w:val="Heading2"/>
      </w:pPr>
      <w:r>
        <w:t>Puzzle / game — Chain restore</w:t>
      </w:r>
    </w:p>
    <w:p>
      <w:r>
        <w:t>Unscramble the five primary references into calendar order and state one teaching sentence each.</w:t>
      </w:r>
    </w:p>
    <w:p>
      <w:pPr>
        <w:pStyle w:val="Heading2"/>
      </w:pPr>
      <w:r>
        <w:t>Diagram task</w:t>
      </w:r>
    </w:p>
    <w:p>
      <w:r>
        <w:t>Sketch a simple map of this week's idea using boxes/arrows. Label scripture vs analogy if both appear.</w:t>
      </w:r>
    </w:p>
    <w:p>
      <w:pPr>
        <w:pStyle w:val="Heading2"/>
      </w:pPr>
      <w:r>
        <w:t>Project contribution</w:t>
      </w:r>
    </w:p>
    <w:p>
      <w:r>
        <w:t>Add one sentence to the cycle project answering the essential question. Keep ≤5 minutes.</w:t>
      </w:r>
    </w:p>
    <w:p>
      <w:pPr>
        <w:pStyle w:val="Heading2"/>
      </w:pPr>
      <w:r>
        <w:t>Reflection</w:t>
      </w:r>
    </w:p>
    <w:p>
      <w:r>
        <w:t>Write: “This week I will practice ___ when ___.”</w:t>
      </w:r>
    </w:p>
    <w:p>
      <w:pPr>
        <w:pStyle w:val="Heading2"/>
      </w:pPr>
      <w:r>
        <w:t>Extension (optional)</w:t>
      </w:r>
    </w:p>
    <w:p>
      <w:r>
        <w:t>Compare one supporting reference from the facilitator guide with the primary — what does it add, and what limit remains?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(teacher-only). Do not distribute keys to students during work time.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