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C3-W1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C3-W1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Two-minute summary</w:t>
      </w:r>
    </w:p>
    <w:p>
      <w:r>
        <w:t>Families often fight over control, credit, and possession because we quietly assume ‘I am the owner and enjoyer.’ BG 5.29 gives the peace formula: know Kṛṣṇa as the supreme enjoyer of sacrifice and austerity, the proprietor of all worlds, and the well-wishing friend of every living being. This week trains stewardship language and one daily remembrance before a duty.</w:t>
      </w:r>
    </w:p>
    <w:p>
      <w:r>
        <w:rPr>
          <w:b/>
        </w:rPr>
        <w:t>Primary:</w:t>
      </w:r>
      <w:r>
        <w:t xml:space="preserve"> BG 5.29 — https://vedabase.io/en/library/bg/5/29/</w:t>
      </w:r>
    </w:p>
    <w:p>
      <w:pPr>
        <w:pStyle w:val="Heading2"/>
      </w:pPr>
      <w:r>
        <w:t>Essential question</w:t>
      </w:r>
    </w:p>
    <w:p>
      <w:r>
        <w:t>Who is God to our family?</w:t>
      </w:r>
    </w:p>
    <w:p>
      <w:pPr>
        <w:pStyle w:val="Heading2"/>
      </w:pPr>
      <w:r>
        <w:t>Learning outcomes (session)</w:t>
      </w:r>
    </w:p>
    <w:p>
      <w:pPr>
        <w:pStyle w:val="ListBullet"/>
      </w:pPr>
      <w:r>
        <w:t>Name the three peace-giving features in BG 5.29: enjoyer, proprietor, friend.</w:t>
      </w:r>
    </w:p>
    <w:p>
      <w:pPr>
        <w:pStyle w:val="ListBullet"/>
      </w:pPr>
      <w:r>
        <w:t>Reframe one conflict over control or credit using the peace formula.</w:t>
      </w:r>
    </w:p>
    <w:p>
      <w:pPr>
        <w:pStyle w:val="ListBullet"/>
      </w:pPr>
      <w:r>
        <w:t>Choose one daily duty and remember: Kṛṣṇa owns, Kṛṣṇa enjoys, Kṛṣṇa is friend.</w:t>
      </w:r>
    </w:p>
    <w:p>
      <w:pPr>
        <w:pStyle w:val="ListBullet"/>
      </w:pPr>
      <w:r>
        <w:t>Children can say Kṛṣṇa owns, accepts loving offerings, and is everyone’s friend.</w:t>
      </w:r>
    </w:p>
    <w:p>
      <w:pPr>
        <w:pStyle w:val="Heading2"/>
      </w:pPr>
      <w:r>
        <w:t>15-minute night-before prep</w:t>
      </w:r>
    </w:p>
    <w:p>
      <w:pPr>
        <w:pStyle w:val="ListNumber"/>
      </w:pPr>
      <w:r>
        <w:t>Open https://vedabase.io/en/library/bg/5/29/ and read Devanāgarī, IAST, and the KUTUMBA teaching meaning aloud once.</w:t>
      </w:r>
    </w:p>
    <w:p>
      <w:pPr>
        <w:pStyle w:val="ListNumber"/>
      </w:pPr>
      <w:r>
        <w:t>Rehearse the exact opening script below without improvising new doctrine.</w:t>
      </w:r>
    </w:p>
    <w:p>
      <w:pPr>
        <w:pStyle w:val="ListNumber"/>
      </w:pPr>
      <w:r>
        <w:t>Pack younger materials and older materials listed under Materials.</w:t>
      </w:r>
    </w:p>
    <w:p>
      <w:pPr>
        <w:pStyle w:val="ListNumber"/>
      </w:pPr>
      <w:r>
        <w:t>Mark the week's primary misconception to block: God is an impersonal force only (or ‘I am the real owner/enjoyer’)..</w:t>
      </w:r>
    </w:p>
    <w:p>
      <w:pPr>
        <w:pStyle w:val="ListNumber"/>
      </w:pPr>
      <w:r>
        <w:t>Confirm snack and water table (no weekly meal) and parent-onsite seating.</w:t>
      </w:r>
    </w:p>
    <w:p>
      <w:pPr>
        <w:pStyle w:val="ListNumber"/>
      </w:pPr>
      <w:r>
        <w:t>Print or open the home-practice card wording for saṅkalpa.</w:t>
      </w:r>
    </w:p>
    <w:p>
      <w:pPr>
        <w:pStyle w:val="Heading2"/>
      </w:pPr>
      <w:r>
        <w:t>60-minute deep prep</w:t>
      </w:r>
    </w:p>
    <w:p>
      <w:pPr>
        <w:pStyle w:val="ListNumber"/>
      </w:pPr>
      <w:r>
        <w:t>Read the Core explanation section twice; highlight three sentences you will say slowly.</w:t>
      </w:r>
    </w:p>
    <w:p>
      <w:pPr>
        <w:pStyle w:val="ListNumber"/>
      </w:pPr>
      <w:r>
        <w:t>Choose one analogy and one case you will actually use; mark time cues in the margin.</w:t>
      </w:r>
    </w:p>
    <w:p>
      <w:pPr>
        <w:pStyle w:val="ListNumber"/>
      </w:pPr>
      <w:r>
        <w:t>Prepare three questions: one discovery, one understanding, one application.</w:t>
      </w:r>
    </w:p>
    <w:p>
      <w:pPr>
        <w:pStyle w:val="ListNumber"/>
      </w:pPr>
      <w:r>
        <w:t>Walk the room: welcome zone, verse wall, younger track, older track, reunification circle, snack table.</w:t>
      </w:r>
    </w:p>
    <w:p>
      <w:pPr>
        <w:pStyle w:val="ListNumber"/>
      </w:pPr>
      <w:r>
        <w:t>Confirm younger and older teachers have executable guides (not shells) and activity packs.</w:t>
      </w:r>
    </w:p>
    <w:p>
      <w:pPr>
        <w:pStyle w:val="ListNumber"/>
      </w:pPr>
      <w:r>
        <w:t>Review deferral language: if a question exceeds week scope, thank the asker, note it, and schedule follow-up with a qualified source rather than inventing an answer.</w:t>
      </w:r>
    </w:p>
    <w:p>
      <w:pPr>
        <w:pStyle w:val="ListNumber"/>
      </w:pPr>
      <w:r>
        <w:t>Review safeguarding: no private home struggles disclosed publicly; no ranking; child opt-out roles available.</w:t>
      </w:r>
    </w:p>
    <w:p>
      <w:pPr>
        <w:pStyle w:val="Heading2"/>
      </w:pPr>
      <w:r>
        <w:t>Exact primary readings</w:t>
      </w:r>
    </w:p>
    <w:p>
      <w:pPr>
        <w:pStyle w:val="ListBullet"/>
      </w:pPr>
      <w:r>
        <w:rPr>
          <w:b/>
        </w:rPr>
        <w:t>Reference:</w:t>
      </w:r>
      <w:r>
        <w:t xml:space="preserve"> BG 5.29</w:t>
      </w:r>
    </w:p>
    <w:p>
      <w:pPr>
        <w:pStyle w:val="ListBullet"/>
      </w:pPr>
      <w:r>
        <w:rPr>
          <w:b/>
        </w:rPr>
        <w:t>URL:</w:t>
      </w:r>
      <w:r>
        <w:t xml:space="preserve"> https://vedabase.io/en/library/bg/5/29/</w:t>
      </w:r>
    </w:p>
    <w:p>
      <w:pPr>
        <w:pStyle w:val="ListBullet"/>
      </w:pPr>
      <w:r>
        <w:rPr>
          <w:b/>
        </w:rPr>
        <w:t>Devanāgarī:</w:t>
      </w:r>
      <w:r>
        <w:t xml:space="preserve"> भोक्तारं यज्ञतपसां सर्वलोकमहेश्वरम् । सुहृदं सर्वभूतानां ज्ञात्वा मां शान्तिमृच्छति ॥ २९ ॥</w:t>
      </w:r>
    </w:p>
    <w:p>
      <w:pPr>
        <w:pStyle w:val="ListBullet"/>
      </w:pPr>
      <w:r>
        <w:rPr>
          <w:b/>
        </w:rPr>
        <w:t>IAST:</w:t>
      </w:r>
      <w:r>
        <w:t xml:space="preserve"> bhoktāraṁ yajña-tapasāṁ sarva-loka-maheśvaram / suhṛdaṁ sarva-bhūtānāṁ jñātvā māṁ śāntim ṛcchati</w:t>
      </w:r>
    </w:p>
    <w:p>
      <w:pPr>
        <w:pStyle w:val="ListBullet"/>
      </w:pPr>
      <w:r>
        <w:rPr>
          <w:b/>
        </w:rPr>
        <w:t>KUTUMBA teaching meaning:</w:t>
      </w:r>
      <w:r>
        <w:t xml:space="preserve"> Knowing the Lord as the enjoyer of sacrifice and austerity, the proprietor of all worlds, and the friend of all beings — one attains peace.</w:t>
      </w:r>
    </w:p>
    <w:p>
      <w:pPr>
        <w:pStyle w:val="ListBullet"/>
      </w:pPr>
      <w:r>
        <w:rPr>
          <w:b/>
        </w:rPr>
        <w:t>Rights:</w:t>
      </w:r>
      <w:r>
        <w:t xml:space="preserve"> Sanskrit from VedaBase display; KUTUMBA teaching meaning is original program pedagogy — not labeled as a BBT English translation; do not paste full purports into slides or handouts.</w:t>
      </w:r>
    </w:p>
    <w:p>
      <w:pPr>
        <w:pStyle w:val="Heading2"/>
      </w:pPr>
      <w:r>
        <w:t>Supporting sources (link-level; summarize, do not copy purports)</w:t>
      </w:r>
    </w:p>
    <w:p>
      <w:pPr>
        <w:pStyle w:val="ListBullet"/>
      </w:pPr>
      <w:r>
        <w:t>BG 9.10 — https://vedabase.io/en/library/bg/9/10/</w:t>
      </w:r>
    </w:p>
    <w:p>
      <w:pPr>
        <w:pStyle w:val="ListBullet"/>
      </w:pPr>
      <w:r>
        <w:t>BG 13.23 — https://vedabase.io/en/library/bg/13/23/</w:t>
      </w:r>
    </w:p>
    <w:p>
      <w:pPr>
        <w:pStyle w:val="ListBullet"/>
      </w:pPr>
      <w:r>
        <w:t>Śrī Īśopaniṣad Invocation &amp; Mantra 1 — https://vedabase.io/en/library/iso/</w:t>
      </w:r>
    </w:p>
    <w:p>
      <w:pPr>
        <w:pStyle w:val="ListBullet"/>
      </w:pPr>
      <w:r>
        <w:t>BG 9.26 — https://vedabase.io/en/library/bg/9/26/</w:t>
      </w:r>
    </w:p>
    <w:p>
      <w:pPr>
        <w:pStyle w:val="Heading2"/>
      </w:pPr>
      <w:r>
        <w:t>One-page speaking map</w:t>
      </w:r>
    </w:p>
    <w:p>
      <w:pPr>
        <w:pStyle w:val="ListNumber"/>
      </w:pPr>
      <w:r>
        <w:t>Welcome and memory of prior week (2–3 min)</w:t>
      </w:r>
    </w:p>
    <w:p>
      <w:pPr>
        <w:pStyle w:val="ListNumber"/>
      </w:pPr>
      <w:r>
        <w:t>Essential question (1 min)</w:t>
      </w:r>
    </w:p>
    <w:p>
      <w:pPr>
        <w:pStyle w:val="ListNumber"/>
      </w:pPr>
      <w:r>
        <w:t>Verse layer — Devanāgarī / IAST / teaching meaning (6–8 min)</w:t>
      </w:r>
    </w:p>
    <w:p>
      <w:pPr>
        <w:pStyle w:val="ListNumber"/>
      </w:pPr>
      <w:r>
        <w:t>Core explanation with board triangle or map (8–10 min)</w:t>
      </w:r>
    </w:p>
    <w:p>
      <w:pPr>
        <w:pStyle w:val="ListNumber"/>
      </w:pPr>
      <w:r>
        <w:t>One analogy with spoken limit (3 min)</w:t>
      </w:r>
    </w:p>
    <w:p>
      <w:pPr>
        <w:pStyle w:val="ListNumber"/>
      </w:pPr>
      <w:r>
        <w:t>One case study (5 min)</w:t>
      </w:r>
    </w:p>
    <w:p>
      <w:pPr>
        <w:pStyle w:val="ListNumber"/>
      </w:pPr>
      <w:r>
        <w:t>Age-track handoff (tracks 40 min)</w:t>
      </w:r>
    </w:p>
    <w:p>
      <w:pPr>
        <w:pStyle w:val="ListNumber"/>
      </w:pPr>
      <w:r>
        <w:t>Reunification share (8–10 min)</w:t>
      </w:r>
    </w:p>
    <w:p>
      <w:pPr>
        <w:pStyle w:val="ListNumber"/>
      </w:pPr>
      <w:r>
        <w:t>Snack/water</w:t>
      </w:r>
    </w:p>
    <w:p>
      <w:pPr>
        <w:pStyle w:val="ListNumber"/>
      </w:pPr>
      <w:r>
        <w:t>Home practice saṅkalpa and close</w:t>
      </w:r>
    </w:p>
    <w:p>
      <w:pPr>
        <w:pStyle w:val="Heading2"/>
      </w:pPr>
      <w:r>
        <w:t>Exact opening script</w:t>
      </w:r>
    </w:p>
    <w:p>
      <w:pPr>
        <w:pStyle w:val="Quote"/>
      </w:pPr>
      <w:r>
        <w:t>Welcome to Cycle 3, Week 1: Who Is God? The Supreme Enjoyer, Proprietor and Friend. Essential question: Who is God to our family? From Bhagavad-gītā 5.29: Knowing the Lord as the enjoyer of sacrifice and austerity, the proprietor of all worlds, and the friend of all beings — one attains peace. We will hear the verse, practice in age bands, reunite without ranking, and take one small home step. Parents remain with us. Snack and water only — no weekly meal.</w:t>
      </w:r>
    </w:p>
    <w:p>
      <w:pPr>
        <w:pStyle w:val="Heading2"/>
      </w:pPr>
      <w:r>
        <w:t>Core explanation (teach this; do not outsource to research files)</w:t>
      </w:r>
    </w:p>
    <w:p>
      <w:pPr>
        <w:pStyle w:val="Heading3"/>
      </w:pPr>
      <w:r>
        <w:t>Why this week matters</w:t>
      </w:r>
    </w:p>
    <w:p>
      <w:r>
        <w:t xml:space="preserve">Much family conflict begins with a hidden claim: “This is mine. My plan should control everyone. Credit should land on me.” Children argue over toys; adults argue over money, schedules, recognition, and authority. BG 5.29 does not shame desire for order; it relocates the center. Peace comes when we know the Lord as (1) </w:t>
      </w:r>
      <w:r>
        <w:rPr>
          <w:b/>
        </w:rPr>
        <w:t>bhoktā</w:t>
      </w:r>
      <w:r>
        <w:t xml:space="preserve"> — the enjoyer/beneficiary of sacrifice and austerity, (2) </w:t>
      </w:r>
      <w:r>
        <w:rPr>
          <w:b/>
        </w:rPr>
        <w:t>sarva-loka-maheśvara</w:t>
      </w:r>
      <w:r>
        <w:t xml:space="preserve"> — the supreme proprietor of all worlds, and (3) </w:t>
      </w:r>
      <w:r>
        <w:rPr>
          <w:b/>
        </w:rPr>
        <w:t>suhṛt</w:t>
      </w:r>
      <w:r>
        <w:t xml:space="preserve"> — the well-wishing friend of all living beings.</w:t>
      </w:r>
    </w:p>
    <w:p>
      <w:pPr>
        <w:pStyle w:val="Heading3"/>
      </w:pPr>
      <w:r>
        <w:t>Feature 1 — Enjoyer (bhoktāraṁ yajña-tapasām)</w:t>
      </w:r>
    </w:p>
    <w:p>
      <w:r>
        <w:t>Yajña and tapaḥ here point to the sacrificial and disciplined offerings of life — work, worship, restraint, and care offered for the Lord’s pleasure. Families can practice this without inventing unauthorized rituals: offer food according to local temple guidance, offer a drawing or flower with love, offer the results of a hard conversation by asking, “How can this serve Kṛṣṇa and protect people?” The Lord is not hungry for our ego performance; He accepts the loving intention connected to Him.</w:t>
      </w:r>
    </w:p>
    <w:p>
      <w:pPr>
        <w:pStyle w:val="Heading3"/>
      </w:pPr>
      <w:r>
        <w:t>Feature 2 — Proprietor (sarva-loka-maheśvaram)</w:t>
      </w:r>
    </w:p>
    <w:p>
      <w:r>
        <w:t>Proprietorship language changes stewardship. If Kṛṣṇa owns the house, the paycheck, the child’s talents, and the shared toys, then grabbing, wasting, and boasting become less “clever” and more clearly off. Stewardship is not neglect: knowing Kṛṣṇa owns something means greater care, not careless use. Connect to Īśopaniṣad’s mood of living with what is allotted without greed, summarized carefully without copying long copyrighted commentary.</w:t>
      </w:r>
    </w:p>
    <w:p>
      <w:pPr>
        <w:pStyle w:val="Heading3"/>
      </w:pPr>
      <w:r>
        <w:t>Feature 3 — Friend (suhṛdaṁ sarva-bhūtānām)</w:t>
      </w:r>
    </w:p>
    <w:p>
      <w:r>
        <w:t>Friend means well-wisher of every living being — not only our family, caste, or friend group. This blocks cold fatalism (“God doesn’t care”) and blocks tribal spirituality (“God is only for people like us”). For children: Kṛṣṇa is the friend of every living being. For teens: friendship with God does not cancel responsibility; it gives courage to act without frantic control.</w:t>
      </w:r>
    </w:p>
    <w:p>
      <w:pPr>
        <w:pStyle w:val="Heading3"/>
      </w:pPr>
      <w:r>
        <w:t>The result — peace (śāntim ṛcchati)</w:t>
      </w:r>
    </w:p>
    <w:p>
      <w:r>
        <w:t>The verse’s result is peace from material pangs. Facilitators should not promise that remembering the formula erases all hardship. Teach: the formula relocates the heart’s claim, which reduces the specific misery of false proprietorship and false enjoyership. Practical peace shows up as fewer credit wars, softer speech, and willingness to share.</w:t>
      </w:r>
    </w:p>
    <w:p>
      <w:pPr>
        <w:pStyle w:val="Heading3"/>
      </w:pPr>
      <w:r>
        <w:t>Classroom board map</w:t>
      </w:r>
    </w:p>
    <w:p>
      <w:r>
        <w:t>Draw a triangle: Enjoyer / Proprietor / Friend. Center: Peace. Outside the triangle write false claims: “I own,” “I must enjoy first,” “Others are obstacles.” Cross them with stewardship arrows.</w:t>
      </w:r>
    </w:p>
    <w:p>
      <w:pPr>
        <w:pStyle w:val="Heading3"/>
      </w:pPr>
      <w:r>
        <w:t>What not to teach tonight</w:t>
      </w:r>
    </w:p>
    <w:p>
      <w:pPr>
        <w:pStyle w:val="ListBullet"/>
      </w:pPr>
      <w:r>
        <w:t>Do not unfold full personal Kṛṣṇa-līlā ontology (that is C3-W2).</w:t>
      </w:r>
    </w:p>
    <w:p>
      <w:pPr>
        <w:pStyle w:val="ListBullet"/>
      </w:pPr>
      <w:r>
        <w:t>Do not treat God as only an impersonal energy.</w:t>
      </w:r>
    </w:p>
    <w:p>
      <w:pPr>
        <w:pStyle w:val="ListBullet"/>
      </w:pPr>
      <w:r>
        <w:t>Do not use Mṛgāri or other C1-W4 hunter narratives here.</w:t>
      </w:r>
    </w:p>
    <w:p>
      <w:pPr>
        <w:pStyle w:val="ListBullet"/>
      </w:pPr>
      <w:r>
        <w:t>Do not claim science has proven the soul or the Lord’s proprietorship.</w:t>
      </w:r>
    </w:p>
    <w:p>
      <w:pPr>
        <w:pStyle w:val="Heading2"/>
      </w:pPr>
      <w:r>
        <w:t>Minute-by-minute facilitator script (plenary portion)</w:t>
      </w:r>
    </w:p>
    <w:p>
      <w:pPr>
        <w:pStyle w:val="Heading3"/>
      </w:pPr>
      <w:r>
        <w:t>2:00–2:10 — Welcome and settling</w:t>
      </w:r>
    </w:p>
    <w:p>
      <w:r>
        <w:t>Greet each family by name if known. Point out restrooms, water, and the snack table timing (snack at 3:30, not a weekly meal). Remind parents they remain onsite. Open with the program’s authorized mantras using the local chanting sheet. Keep volume warm, not theatrical. If a child is dysregulated, offer a quiet helper role immediately rather than competing with the room.</w:t>
      </w:r>
    </w:p>
    <w:p>
      <w:pPr>
        <w:pStyle w:val="Heading3"/>
      </w:pPr>
      <w:r>
        <w:t>2:10–2:18 — Opening script and essential question</w:t>
      </w:r>
    </w:p>
    <w:p>
      <w:r>
        <w:t>Deliver the exact opening script without adding new doctrinal claims. Pause after the essential question. Collect two or three short responses. Do not debate. Write one phrase on the board that you will return to later. State the primary reference and URL verbally so older learners hear that scripture is locatable.</w:t>
      </w:r>
    </w:p>
    <w:p>
      <w:pPr>
        <w:pStyle w:val="Heading3"/>
      </w:pPr>
      <w:r>
        <w:t>2:18–2:28 — Verse layer</w:t>
      </w:r>
    </w:p>
    <w:p>
      <w:r>
        <w:t>Display Devanāgarī. Read slowly. Display IAST. Read slowly. Read the full KUTUMBA teaching meaning without truncation. Ask one child to repeat a memory phrase and one older learner to name the reference. If the primary is a multi-verse or long verse text, do not stop mid-verse. For C3-W4, end aloud on paraṁ vijayate śrī-kṛṣṇa-saṅkīrtanam. For C3-W5, include iti puṁsārpitā … ’dhītam uttamam. For C3-W6, recite the exact chain BG 5.29 · BG 7.7 · BG 4.34 · CC Antya 20.12 · ŚB 7.5.23–24.</w:t>
      </w:r>
    </w:p>
    <w:p>
      <w:pPr>
        <w:pStyle w:val="Heading3"/>
      </w:pPr>
      <w:r>
        <w:t>2:28–2:40 — Core map, analogy, and one case</w:t>
      </w:r>
    </w:p>
    <w:p>
      <w:r>
        <w:t>Teach the board map from the core explanation. Use exactly one analogy and speak its limit in the same breath. Run one case study with compassionate response language. Protect privacy: no family is asked to confess failures publicly. Transition: “Now we practice in age bands; parents stay onsite; we reunite at 3:10.”</w:t>
      </w:r>
    </w:p>
    <w:p>
      <w:pPr>
        <w:pStyle w:val="Heading3"/>
      </w:pPr>
      <w:r>
        <w:t>2:40–3:10 — Tracks (facilitator float)</w:t>
      </w:r>
    </w:p>
    <w:p>
      <w:r>
        <w:t>Float between younger and older rooms/zones. Ensure teachers are using executable guides, not improvising doctrine. Watch for punishment-chanting, ranking, or unsafe secrecy language and interrupt gently. Keep snack prep silent in the background.</w:t>
      </w:r>
    </w:p>
    <w:p>
      <w:pPr>
        <w:pStyle w:val="Heading3"/>
      </w:pPr>
      <w:r>
        <w:t>3:10–3:30 — Reunification and snack</w:t>
      </w:r>
    </w:p>
    <w:p>
      <w:r>
        <w:t>Use the reunification script. Limit shares to one sentence or one picture. Begin snack/water. No lesson competition during snack. Capture home-practice commitments on cards.</w:t>
      </w:r>
    </w:p>
    <w:p>
      <w:pPr>
        <w:pStyle w:val="Heading3"/>
      </w:pPr>
      <w:r>
        <w:t>3:40–4:00 — Saṅkalpa and close</w:t>
      </w:r>
    </w:p>
    <w:p>
      <w:r>
        <w:t>Read the minimum home practice. Invite one adult and one child to restate it. Preview next week in one sentence. Thank volunteers. Reset the room. End at 4:00.</w:t>
      </w:r>
    </w:p>
    <w:p>
      <w:pPr>
        <w:pStyle w:val="Heading2"/>
      </w:pPr>
      <w:r>
        <w:t>Facilitator voice examples (say / don’t say)</w:t>
      </w:r>
    </w:p>
    <w:p>
      <w:pPr>
        <w:pStyle w:val="Heading3"/>
      </w:pPr>
      <w:r>
        <w:t>Say</w:t>
      </w:r>
    </w:p>
    <w:p>
      <w:pPr>
        <w:pStyle w:val="ListBullet"/>
      </w:pPr>
      <w:r>
        <w:t>“Śāstra first — let’s open the verse.”</w:t>
      </w:r>
    </w:p>
    <w:p>
      <w:pPr>
        <w:pStyle w:val="ListBullet"/>
      </w:pPr>
      <w:r>
        <w:t>“That is a sincere question; we will note it and follow up with a qualified source.”</w:t>
      </w:r>
    </w:p>
    <w:p>
      <w:pPr>
        <w:pStyle w:val="ListBullet"/>
      </w:pPr>
      <w:r>
        <w:t>“Helper roles are real service.”</w:t>
      </w:r>
    </w:p>
    <w:p>
      <w:pPr>
        <w:pStyle w:val="ListBullet"/>
      </w:pPr>
      <w:r>
        <w:t>“We do not rank families.”</w:t>
      </w:r>
    </w:p>
    <w:p>
      <w:pPr>
        <w:pStyle w:val="Heading3"/>
      </w:pPr>
      <w:r>
        <w:t>Don’t say</w:t>
      </w:r>
    </w:p>
    <w:p>
      <w:pPr>
        <w:pStyle w:val="ListBullet"/>
      </w:pPr>
      <w:r>
        <w:t>“Your family is behind.”</w:t>
      </w:r>
    </w:p>
    <w:p>
      <w:pPr>
        <w:pStyle w:val="ListBullet"/>
      </w:pPr>
      <w:r>
        <w:t>“Chant until you behave.”</w:t>
      </w:r>
    </w:p>
    <w:p>
      <w:pPr>
        <w:pStyle w:val="ListBullet"/>
      </w:pPr>
      <w:r>
        <w:t>“Science has now proven this verse.”</w:t>
      </w:r>
    </w:p>
    <w:p>
      <w:pPr>
        <w:pStyle w:val="ListBullet"/>
      </w:pPr>
      <w:r>
        <w:t>“This material is temple-approved / publication-ready.” (It is EXTERNAL_OPEN for human/temple review.)</w:t>
      </w:r>
    </w:p>
    <w:p>
      <w:pPr>
        <w:pStyle w:val="ListBullet"/>
      </w:pPr>
      <w:r>
        <w:t>“Mṛgāri story time.” (Out of scope for Cycle 3.)</w:t>
      </w:r>
    </w:p>
    <w:p>
      <w:pPr>
        <w:pStyle w:val="Heading2"/>
      </w:pPr>
      <w:r>
        <w:t>Differentiation and newcomers</w:t>
      </w:r>
    </w:p>
    <w:p>
      <w:r>
        <w:t>Newcomer adults: give the two-minute summary and the home-practice card; do not flood with Sanskrit pressure. Newcomer children: pair with a buddy; allow listening-only kīrtana roles. Multilingual homes: English teaching meaning is enough for comprehension; Sanskrit is honored by hearing, not by forced accuracy on night one. If a family arrives late, skim to the verse layer and hand them the card; do not publicly recap someone else’s private share.</w:t>
      </w:r>
    </w:p>
    <w:p>
      <w:pPr>
        <w:pStyle w:val="Heading2"/>
      </w:pPr>
      <w:r>
        <w:t>Room stewardship checklist (executable)</w:t>
      </w:r>
    </w:p>
    <w:p>
      <w:pPr>
        <w:pStyle w:val="ListNumber"/>
      </w:pPr>
      <w:r>
        <w:t>Verse wall visible from both tracks’ return path.</w:t>
      </w:r>
    </w:p>
    <w:p>
      <w:pPr>
        <w:pStyle w:val="ListNumber"/>
      </w:pPr>
      <w:r>
        <w:t>Younger materials bag packed before 1:50.</w:t>
      </w:r>
    </w:p>
    <w:p>
      <w:pPr>
        <w:pStyle w:val="ListNumber"/>
      </w:pPr>
      <w:r>
        <w:t>Older worksheets and answer key (private) separated.</w:t>
      </w:r>
    </w:p>
    <w:p>
      <w:pPr>
        <w:pStyle w:val="ListNumber"/>
      </w:pPr>
      <w:r>
        <w:t>Water labeled; allergen note if any shared snack.</w:t>
      </w:r>
    </w:p>
    <w:p>
      <w:pPr>
        <w:pStyle w:val="ListNumber"/>
      </w:pPr>
      <w:r>
        <w:t>Timer visible for track teachers.</w:t>
      </w:r>
    </w:p>
    <w:p>
      <w:pPr>
        <w:pStyle w:val="ListNumber"/>
      </w:pPr>
      <w:r>
        <w:t>Safeguarding adult identified on the run-sheet.</w:t>
      </w:r>
    </w:p>
    <w:p>
      <w:pPr>
        <w:pStyle w:val="ListNumber"/>
      </w:pPr>
      <w:r>
        <w:t>Cleanup bags at doors by 3:50.</w:t>
      </w:r>
    </w:p>
    <w:p>
      <w:pPr>
        <w:pStyle w:val="ListNumber"/>
      </w:pPr>
      <w:r>
        <w:t>Lost-and-found box for craft pieces.</w:t>
      </w:r>
    </w:p>
    <w:p>
      <w:pPr>
        <w:pStyle w:val="Heading2"/>
      </w:pPr>
      <w:r>
        <w:t>Analogies (inline — with limits)</w:t>
      </w:r>
    </w:p>
    <w:p>
      <w:pPr>
        <w:pStyle w:val="Heading3"/>
      </w:pPr>
      <w:r>
        <w:t>Analogy 1: Shared toy basket</w:t>
      </w:r>
    </w:p>
    <w:p>
      <w:pPr>
        <w:pStyle w:val="ListBullet"/>
      </w:pPr>
      <w:r>
        <w:rPr>
          <w:b/>
        </w:rPr>
        <w:t>Say:</w:t>
      </w:r>
      <w:r>
        <w:t xml:space="preserve"> If toys belong to Kṛṣṇa’s family basket, children care for them and take turns; grabbing shrinks joy.</w:t>
      </w:r>
    </w:p>
    <w:p>
      <w:pPr>
        <w:pStyle w:val="ListBullet"/>
      </w:pPr>
      <w:r>
        <w:rPr>
          <w:b/>
        </w:rPr>
        <w:t>Limit:</w:t>
      </w:r>
      <w:r>
        <w:t xml:space="preserve"> A basket is not God; ownership of matter is an analogy for stewardship, not a toy theology.</w:t>
      </w:r>
    </w:p>
    <w:p>
      <w:pPr>
        <w:pStyle w:val="ListBullet"/>
      </w:pPr>
      <w:r>
        <w:rPr>
          <w:b/>
        </w:rPr>
        <w:t>Bridge back to verse:</w:t>
      </w:r>
      <w:r>
        <w:t xml:space="preserve"> Return to sarva-loka-maheśvaram — the Lord is proprietor of all worlds.</w:t>
      </w:r>
    </w:p>
    <w:p>
      <w:pPr>
        <w:pStyle w:val="Heading3"/>
      </w:pPr>
      <w:r>
        <w:t>Analogy 2: Guest of honor at dinner</w:t>
      </w:r>
    </w:p>
    <w:p>
      <w:pPr>
        <w:pStyle w:val="ListBullet"/>
      </w:pPr>
      <w:r>
        <w:rPr>
          <w:b/>
        </w:rPr>
        <w:t>Say:</w:t>
      </w:r>
      <w:r>
        <w:t xml:space="preserve"> When a beloved guest is the guest of honor, the family cooks with joy and serves first to them.</w:t>
      </w:r>
    </w:p>
    <w:p>
      <w:pPr>
        <w:pStyle w:val="ListBullet"/>
      </w:pPr>
      <w:r>
        <w:rPr>
          <w:b/>
        </w:rPr>
        <w:t>Limit:</w:t>
      </w:r>
      <w:r>
        <w:t xml:space="preserve"> The Lord is not a needy guest; the analogy only trains offering mood.</w:t>
      </w:r>
    </w:p>
    <w:p>
      <w:pPr>
        <w:pStyle w:val="ListBullet"/>
      </w:pPr>
      <w:r>
        <w:rPr>
          <w:b/>
        </w:rPr>
        <w:t>Bridge back to verse:</w:t>
      </w:r>
      <w:r>
        <w:t xml:space="preserve"> Return to bhoktāraṁ yajña-tapasām — He is the enjoyer of offerings.</w:t>
      </w:r>
    </w:p>
    <w:p>
      <w:pPr>
        <w:pStyle w:val="Heading3"/>
      </w:pPr>
      <w:r>
        <w:t>Analogy 3: Trusted coach on the team</w:t>
      </w:r>
    </w:p>
    <w:p>
      <w:pPr>
        <w:pStyle w:val="ListBullet"/>
      </w:pPr>
      <w:r>
        <w:rPr>
          <w:b/>
        </w:rPr>
        <w:t>Say:</w:t>
      </w:r>
      <w:r>
        <w:t xml:space="preserve"> A good coach wants every player’s good, not only the star’s highlight reel.</w:t>
      </w:r>
    </w:p>
    <w:p>
      <w:pPr>
        <w:pStyle w:val="ListBullet"/>
      </w:pPr>
      <w:r>
        <w:rPr>
          <w:b/>
        </w:rPr>
        <w:t>Limit:</w:t>
      </w:r>
      <w:r>
        <w:t xml:space="preserve"> Kṛṣṇa is not a hired coach; suhṛt means transcendental well-wisher.</w:t>
      </w:r>
    </w:p>
    <w:p>
      <w:pPr>
        <w:pStyle w:val="ListBullet"/>
      </w:pPr>
      <w:r>
        <w:rPr>
          <w:b/>
        </w:rPr>
        <w:t>Bridge back to verse:</w:t>
      </w:r>
      <w:r>
        <w:t xml:space="preserve"> Return to suhṛdaṁ sarva-bhūtānām.</w:t>
      </w:r>
    </w:p>
    <w:p>
      <w:pPr>
        <w:pStyle w:val="Heading2"/>
      </w:pPr>
      <w:r>
        <w:t>Case studies (three constructed pedagogical cases)</w:t>
      </w:r>
    </w:p>
    <w:p>
      <w:pPr>
        <w:pStyle w:val="Heading3"/>
      </w:pPr>
      <w:r>
        <w:t>Case 1: Credit war after a successful program</w:t>
      </w:r>
    </w:p>
    <w:p>
      <w:pPr>
        <w:pStyle w:val="ListBullet"/>
      </w:pPr>
      <w:r>
        <w:rPr>
          <w:b/>
        </w:rPr>
        <w:t>Situation:</w:t>
      </w:r>
      <w:r>
        <w:t xml:space="preserve"> After a temple service, two adults argue privately about who ‘made it happen,’ and the tension spills into the car ride home.</w:t>
      </w:r>
    </w:p>
    <w:p>
      <w:pPr>
        <w:pStyle w:val="ListBullet"/>
      </w:pPr>
      <w:r>
        <w:rPr>
          <w:b/>
        </w:rPr>
        <w:t>Mistaken conclusion:</w:t>
      </w:r>
      <w:r>
        <w:t xml:space="preserve"> Peace will come when everyone finally admits I was the real enjoyer of the success.</w:t>
      </w:r>
    </w:p>
    <w:p>
      <w:pPr>
        <w:pStyle w:val="ListBullet"/>
      </w:pPr>
      <w:r>
        <w:rPr>
          <w:b/>
        </w:rPr>
        <w:t>Principle from primary:</w:t>
      </w:r>
      <w:r>
        <w:t xml:space="preserve"> BG 5.29 — the Lord is the enjoyer; we are servants and stewards.</w:t>
      </w:r>
    </w:p>
    <w:p>
      <w:pPr>
        <w:pStyle w:val="ListBullet"/>
      </w:pPr>
      <w:r>
        <w:rPr>
          <w:b/>
        </w:rPr>
        <w:t>Compassionate response (say):</w:t>
      </w:r>
      <w:r>
        <w:t xml:space="preserve"> Acknowledge effort without ranking. Invite one sentence of gratitude to Kṛṣṇa before processing logistics.</w:t>
      </w:r>
    </w:p>
    <w:p>
      <w:pPr>
        <w:pStyle w:val="ListBullet"/>
      </w:pPr>
      <w:r>
        <w:rPr>
          <w:b/>
        </w:rPr>
        <w:t>Family action (5–15 min):</w:t>
      </w:r>
      <w:r>
        <w:t xml:space="preserve"> Family offers a short thank-you prayer and names one way to share credit as service.</w:t>
      </w:r>
    </w:p>
    <w:p>
      <w:pPr>
        <w:pStyle w:val="ListBullet"/>
      </w:pPr>
      <w:r>
        <w:rPr>
          <w:b/>
        </w:rPr>
        <w:t>What not to say:</w:t>
      </w:r>
      <w:r>
        <w:t xml:space="preserve"> Public shaming, scorekeeping devotion, or ‘you are proud’ diagnoses.</w:t>
      </w:r>
    </w:p>
    <w:p>
      <w:pPr>
        <w:pStyle w:val="Heading3"/>
      </w:pPr>
      <w:r>
        <w:t>Case 2: Sibling fight over a tablet</w:t>
      </w:r>
    </w:p>
    <w:p>
      <w:pPr>
        <w:pStyle w:val="ListBullet"/>
      </w:pPr>
      <w:r>
        <w:rPr>
          <w:b/>
        </w:rPr>
        <w:t>Situation:</w:t>
      </w:r>
      <w:r>
        <w:t xml:space="preserve"> Two children shout ‘mine’ over device time; a parent escalates with threats.</w:t>
      </w:r>
    </w:p>
    <w:p>
      <w:pPr>
        <w:pStyle w:val="ListBullet"/>
      </w:pPr>
      <w:r>
        <w:rPr>
          <w:b/>
        </w:rPr>
        <w:t>Mistaken conclusion:</w:t>
      </w:r>
      <w:r>
        <w:t xml:space="preserve"> Whoever is stronger or louder is the rightful owner.</w:t>
      </w:r>
    </w:p>
    <w:p>
      <w:pPr>
        <w:pStyle w:val="ListBullet"/>
      </w:pPr>
      <w:r>
        <w:rPr>
          <w:b/>
        </w:rPr>
        <w:t>Principle from primary:</w:t>
      </w:r>
      <w:r>
        <w:t xml:space="preserve"> Proprietor is Kṛṣṇa; parents steward time and tools.</w:t>
      </w:r>
    </w:p>
    <w:p>
      <w:pPr>
        <w:pStyle w:val="ListBullet"/>
      </w:pPr>
      <w:r>
        <w:rPr>
          <w:b/>
        </w:rPr>
        <w:t>Compassionate response (say):</w:t>
      </w:r>
      <w:r>
        <w:t xml:space="preserve"> Pause. Rename the device as a shared stewardship tool. Reset turns with a timer and a kindness cue.</w:t>
      </w:r>
    </w:p>
    <w:p>
      <w:pPr>
        <w:pStyle w:val="ListBullet"/>
      </w:pPr>
      <w:r>
        <w:rPr>
          <w:b/>
        </w:rPr>
        <w:t>Family action (5–15 min):</w:t>
      </w:r>
      <w:r>
        <w:t xml:space="preserve"> Five-minute stewardship reset: clean the device area together; restate turn rules.</w:t>
      </w:r>
    </w:p>
    <w:p>
      <w:pPr>
        <w:pStyle w:val="ListBullet"/>
      </w:pPr>
      <w:r>
        <w:rPr>
          <w:b/>
        </w:rPr>
        <w:t>What not to say:</w:t>
      </w:r>
      <w:r>
        <w:t xml:space="preserve"> Using holy name or verse chanting as punishment.</w:t>
      </w:r>
    </w:p>
    <w:p>
      <w:pPr>
        <w:pStyle w:val="Heading3"/>
      </w:pPr>
      <w:r>
        <w:t>Case 3: Money anxiety and control</w:t>
      </w:r>
    </w:p>
    <w:p>
      <w:pPr>
        <w:pStyle w:val="ListBullet"/>
      </w:pPr>
      <w:r>
        <w:rPr>
          <w:b/>
        </w:rPr>
        <w:t>Situation:</w:t>
      </w:r>
      <w:r>
        <w:t xml:space="preserve"> A parent micromanages every household rupee from fear, speaking as if catastrophe is the only truth.</w:t>
      </w:r>
    </w:p>
    <w:p>
      <w:pPr>
        <w:pStyle w:val="ListBullet"/>
      </w:pPr>
      <w:r>
        <w:rPr>
          <w:b/>
        </w:rPr>
        <w:t>Mistaken conclusion:</w:t>
      </w:r>
      <w:r>
        <w:t xml:space="preserve"> If I control everything, I will finally have peace.</w:t>
      </w:r>
    </w:p>
    <w:p>
      <w:pPr>
        <w:pStyle w:val="ListBullet"/>
      </w:pPr>
      <w:r>
        <w:rPr>
          <w:b/>
        </w:rPr>
        <w:t>Principle from primary:</w:t>
      </w:r>
      <w:r>
        <w:t xml:space="preserve"> Friend and proprietor: careful planning with trust, not frantic lordship.</w:t>
      </w:r>
    </w:p>
    <w:p>
      <w:pPr>
        <w:pStyle w:val="ListBullet"/>
      </w:pPr>
      <w:r>
        <w:rPr>
          <w:b/>
        </w:rPr>
        <w:t>Compassionate response (say):</w:t>
      </w:r>
      <w:r>
        <w:t xml:space="preserve"> Validate the need for prudence; separate prudence from false proprietorship.</w:t>
      </w:r>
    </w:p>
    <w:p>
      <w:pPr>
        <w:pStyle w:val="ListBullet"/>
      </w:pPr>
      <w:r>
        <w:rPr>
          <w:b/>
        </w:rPr>
        <w:t>Family action (5–15 min):</w:t>
      </w:r>
      <w:r>
        <w:t xml:space="preserve"> Before one bill payment, recite the three features once and choose one generous micro-act.</w:t>
      </w:r>
    </w:p>
    <w:p>
      <w:pPr>
        <w:pStyle w:val="ListBullet"/>
      </w:pPr>
      <w:r>
        <w:rPr>
          <w:b/>
        </w:rPr>
        <w:t>What not to say:</w:t>
      </w:r>
      <w:r>
        <w:t xml:space="preserve"> Spiritual bypassing of real budgeting; do not demand reckless spending ‘as faith.’</w:t>
      </w:r>
    </w:p>
    <w:p>
      <w:pPr>
        <w:pStyle w:val="Heading2"/>
      </w:pPr>
      <w:r>
        <w:t>Facilitator questions</w:t>
      </w:r>
    </w:p>
    <w:p>
      <w:pPr>
        <w:pStyle w:val="Heading3"/>
      </w:pPr>
      <w:r>
        <w:t>Discovery</w:t>
      </w:r>
    </w:p>
    <w:p>
      <w:pPr>
        <w:pStyle w:val="ListBullet"/>
      </w:pPr>
      <w:r>
        <w:t>What three features does BG 5.29 name?</w:t>
      </w:r>
    </w:p>
    <w:p>
      <w:pPr>
        <w:pStyle w:val="ListBullet"/>
      </w:pPr>
      <w:r>
        <w:t>What result does the verse promise when these are known?</w:t>
      </w:r>
    </w:p>
    <w:p>
      <w:pPr>
        <w:pStyle w:val="ListBullet"/>
      </w:pPr>
      <w:r>
        <w:t>Where do we hear ‘mine’ language in ordinary family talk?</w:t>
      </w:r>
    </w:p>
    <w:p>
      <w:pPr>
        <w:pStyle w:val="Heading3"/>
      </w:pPr>
      <w:r>
        <w:t>Understanding</w:t>
      </w:r>
    </w:p>
    <w:p>
      <w:pPr>
        <w:pStyle w:val="ListBullet"/>
      </w:pPr>
      <w:r>
        <w:t>How does ‘proprietor’ differ from ‘neglect’?</w:t>
      </w:r>
    </w:p>
    <w:p>
      <w:pPr>
        <w:pStyle w:val="ListBullet"/>
      </w:pPr>
      <w:r>
        <w:t>Why is ‘friend of all beings’ wider than ‘friend of my group’?</w:t>
      </w:r>
    </w:p>
    <w:p>
      <w:pPr>
        <w:pStyle w:val="ListBullet"/>
      </w:pPr>
      <w:r>
        <w:t>How is offering mood different from performance mood?</w:t>
      </w:r>
    </w:p>
    <w:p>
      <w:pPr>
        <w:pStyle w:val="Heading3"/>
      </w:pPr>
      <w:r>
        <w:t>Application</w:t>
      </w:r>
    </w:p>
    <w:p>
      <w:pPr>
        <w:pStyle w:val="ListBullet"/>
      </w:pPr>
      <w:r>
        <w:t>Which daily duty will carry the three-line remembrance this week?</w:t>
      </w:r>
    </w:p>
    <w:p>
      <w:pPr>
        <w:pStyle w:val="ListBullet"/>
      </w:pPr>
      <w:r>
        <w:t>What is one conflict we can reframe without blaming a child publicly?</w:t>
      </w:r>
    </w:p>
    <w:p>
      <w:pPr>
        <w:pStyle w:val="ListBullet"/>
      </w:pPr>
      <w:r>
        <w:t>What stewardship care increases if Kṛṣṇa owns our home?</w:t>
      </w:r>
    </w:p>
    <w:p>
      <w:pPr>
        <w:pStyle w:val="Heading2"/>
      </w:pPr>
      <w:r>
        <w:t>Adult FAQ (likely room questions)</w:t>
      </w:r>
    </w:p>
    <w:p>
      <w:r>
        <w:rPr>
          <w:b/>
        </w:rPr>
        <w:t>Q:</w:t>
      </w:r>
      <w:r>
        <w:t xml:space="preserve"> Isn’t this just psychology about sharing? </w:t>
      </w:r>
      <w:r>
        <w:rPr>
          <w:b/>
        </w:rPr>
        <w:t>A:</w:t>
      </w:r>
      <w:r>
        <w:t xml:space="preserve"> Healthy sharing habits help, but the verse’s claim is ontological: the Lord is proprietor and friend. Pedagogy may use habit language; doctrine rests on śāstra.</w:t>
      </w:r>
    </w:p>
    <w:p>
      <w:r>
        <w:rPr>
          <w:b/>
        </w:rPr>
        <w:t>Q:</w:t>
      </w:r>
      <w:r>
        <w:t xml:space="preserve"> Are we saying children should have no belongings? </w:t>
      </w:r>
      <w:r>
        <w:rPr>
          <w:b/>
        </w:rPr>
        <w:t>A:</w:t>
      </w:r>
      <w:r>
        <w:t xml:space="preserve"> No. Stewardship includes personal care of entrusted items. The shift is from absolute ‘mine’ to ‘entrusted.’</w:t>
      </w:r>
    </w:p>
    <w:p>
      <w:r>
        <w:rPr>
          <w:b/>
        </w:rPr>
        <w:t>Q:</w:t>
      </w:r>
      <w:r>
        <w:t xml:space="preserve"> How is God a friend if suffering exists? </w:t>
      </w:r>
      <w:r>
        <w:rPr>
          <w:b/>
        </w:rPr>
        <w:t>A:</w:t>
      </w:r>
      <w:r>
        <w:t xml:space="preserve"> Stay in week scope: suhṛt means well-wisher. Do not invent a full theodicy tonight; point to continued hearing and qualified guidance.</w:t>
      </w:r>
    </w:p>
    <w:p>
      <w:pPr>
        <w:pStyle w:val="Heading2"/>
      </w:pPr>
      <w:r>
        <w:t>Common misconceptions to correct gently</w:t>
      </w:r>
    </w:p>
    <w:p>
      <w:pPr>
        <w:pStyle w:val="ListBullet"/>
      </w:pPr>
      <w:r>
        <w:t>God is only an impersonal force or energy.</w:t>
      </w:r>
    </w:p>
    <w:p>
      <w:pPr>
        <w:pStyle w:val="ListBullet"/>
      </w:pPr>
      <w:r>
        <w:t>‘Kṛṣṇa owns it’ means we can waste it.</w:t>
      </w:r>
    </w:p>
    <w:p>
      <w:pPr>
        <w:pStyle w:val="ListBullet"/>
      </w:pPr>
      <w:r>
        <w:t>Peace means no difficulties ever appear.</w:t>
      </w:r>
    </w:p>
    <w:p>
      <w:pPr>
        <w:pStyle w:val="ListBullet"/>
      </w:pPr>
      <w:r>
        <w:t>Naming the formula publicly ranks families as advanced.</w:t>
      </w:r>
    </w:p>
    <w:p>
      <w:pPr>
        <w:pStyle w:val="Heading2"/>
      </w:pPr>
      <w:r>
        <w:t>Doctrinal and delivery boundaries</w:t>
      </w:r>
    </w:p>
    <w:p>
      <w:pPr>
        <w:pStyle w:val="ListBullet"/>
      </w:pPr>
      <w:r>
        <w:t>No invented Lord dialogue.</w:t>
      </w:r>
    </w:p>
    <w:p>
      <w:pPr>
        <w:pStyle w:val="ListBullet"/>
      </w:pPr>
      <w:r>
        <w:t>No Mṛgāri narrative (belongs to C1-W4).</w:t>
      </w:r>
    </w:p>
    <w:p>
      <w:pPr>
        <w:pStyle w:val="ListBullet"/>
      </w:pPr>
      <w:r>
        <w:t>No false approval labels.</w:t>
      </w:r>
    </w:p>
    <w:p>
      <w:pPr>
        <w:pStyle w:val="ListBullet"/>
      </w:pPr>
      <w:r>
        <w:t>Do not import C3-W2 supremacy debates early except as a one-line preview.</w:t>
      </w:r>
    </w:p>
    <w:p>
      <w:pPr>
        <w:pStyle w:val="Heading2"/>
      </w:pPr>
      <w:r>
        <w:t>Track facilitation notes</w:t>
      </w:r>
    </w:p>
    <w:p>
      <w:pPr>
        <w:pStyle w:val="Heading3"/>
      </w:pPr>
      <w:r>
        <w:t>Younger track (K–2 / Lāla–Lālī)</w:t>
      </w:r>
    </w:p>
    <w:p>
      <w:pPr>
        <w:pStyle w:val="ListBullet"/>
      </w:pPr>
      <w:r>
        <w:t>Objective: Children recognize God as owner, enjoyer of offerings, and friend — with stewardship care.</w:t>
      </w:r>
    </w:p>
    <w:p>
      <w:pPr>
        <w:pStyle w:val="ListBullet"/>
      </w:pPr>
      <w:r>
        <w:t>Memory phrase: Kṛṣṇa owns, Kṛṣṇa enjoys, Kṛṣṇa is friend — that brings peace.</w:t>
      </w:r>
    </w:p>
    <w:p>
      <w:pPr>
        <w:pStyle w:val="ListBullet"/>
      </w:pPr>
      <w:r>
        <w:t>Keep movement short; prefer recognition over recitation pressure.</w:t>
      </w:r>
    </w:p>
    <w:p>
      <w:pPr>
        <w:pStyle w:val="ListBullet"/>
      </w:pPr>
      <w:r>
        <w:t>Handoff to reunification with one picture or gesture share.</w:t>
      </w:r>
    </w:p>
    <w:p>
      <w:pPr>
        <w:pStyle w:val="Heading3"/>
      </w:pPr>
      <w:r>
        <w:t>Older track (Kiśora–Kiśorī)</w:t>
      </w:r>
    </w:p>
    <w:p>
      <w:pPr>
        <w:pStyle w:val="ListBullet"/>
      </w:pPr>
      <w:r>
        <w:t>Objective: Students explain BG 5.29’s three features and apply them to a family control conflict.</w:t>
      </w:r>
    </w:p>
    <w:p>
      <w:pPr>
        <w:pStyle w:val="ListBullet"/>
      </w:pPr>
      <w:r>
        <w:t>Require source naming (BG 5.29) before opinions.</w:t>
      </w:r>
    </w:p>
    <w:p>
      <w:pPr>
        <w:pStyle w:val="ListBullet"/>
      </w:pPr>
      <w:r>
        <w:t>Use text observation + one case repair; no competitive scoring.</w:t>
      </w:r>
    </w:p>
    <w:p>
      <w:pPr>
        <w:pStyle w:val="Heading2"/>
      </w:pPr>
      <w:r>
        <w:t>Reunification script</w:t>
      </w:r>
    </w:p>
    <w:p>
      <w:pPr>
        <w:pStyle w:val="Quote"/>
      </w:pPr>
      <w:r>
        <w:t>Welcome back. We will hear a few short shares — a word, a picture, or one sentence — without ranking families. What did you notice about who owns, who enjoys, and who is our friend? Our home step is small and steady: Before one daily duty, remember: Kṛṣṇa owns, Kṛṣṇa enjoys, Kṛṣṇa is friend.. Next week we move to C3-W2 — Who Is Kṛṣṇa? The Supreme Personality of Godhead without dropping this week's practice.</w:t>
      </w:r>
    </w:p>
    <w:p>
      <w:pPr>
        <w:pStyle w:val="Heading2"/>
      </w:pPr>
      <w:r>
        <w:t>Home practice and saṅkalpa</w:t>
      </w:r>
    </w:p>
    <w:p>
      <w:pPr>
        <w:pStyle w:val="ListBullet"/>
      </w:pPr>
      <w:r>
        <w:rPr>
          <w:b/>
        </w:rPr>
        <w:t>Minimum home practice:</w:t>
      </w:r>
      <w:r>
        <w:t xml:space="preserve"> Before one daily duty, remember: Kṛṣṇa owns, Kṛṣṇa enjoys, Kṛṣṇa is friend.</w:t>
      </w:r>
    </w:p>
    <w:p>
      <w:pPr>
        <w:pStyle w:val="ListBullet"/>
      </w:pPr>
      <w:r>
        <w:rPr>
          <w:b/>
        </w:rPr>
        <w:t>Bhakti laboratory cue:</w:t>
      </w:r>
      <w:r>
        <w:t xml:space="preserve"> Stewardship seva and simple offering mood</w:t>
      </w:r>
    </w:p>
    <w:p>
      <w:pPr>
        <w:pStyle w:val="ListBullet"/>
      </w:pPr>
      <w:r>
        <w:t>Write the card before closing; invite one adult and one child to restate it.</w:t>
      </w:r>
    </w:p>
    <w:p>
      <w:pPr>
        <w:pStyle w:val="Heading2"/>
      </w:pPr>
      <w:r>
        <w:t>Transition to next week</w:t>
      </w:r>
    </w:p>
    <w:p>
      <w:r>
        <w:t>Keep the three-feature peace formula alive at home. Next week deepens personal identity: Kṛṣṇa as the Supreme Personality of Godhead (BG 7.7). Do not jump into confidential līlā speculation tonight; stay with enjoyer–proprietor–friend.</w:t>
      </w:r>
    </w:p>
    <w:p>
      <w:pPr>
        <w:pStyle w:val="Heading2"/>
      </w:pPr>
      <w:r>
        <w:t>Materials checklist</w:t>
      </w:r>
    </w:p>
    <w:p>
      <w:pPr>
        <w:pStyle w:val="ListBullet"/>
      </w:pPr>
      <w:r>
        <w:t>Printed BG 5.29 Devanāgarī/IAST card</w:t>
      </w:r>
    </w:p>
    <w:p>
      <w:pPr>
        <w:pStyle w:val="ListBullet"/>
      </w:pPr>
      <w:r>
        <w:t>Triangle poster: Enjoyer / Proprietor / Friend</w:t>
      </w:r>
    </w:p>
    <w:p>
      <w:pPr>
        <w:pStyle w:val="ListBullet"/>
      </w:pPr>
      <w:r>
        <w:t>Shared basket props for younger track</w:t>
      </w:r>
    </w:p>
    <w:p>
      <w:pPr>
        <w:pStyle w:val="ListBullet"/>
      </w:pPr>
      <w:r>
        <w:t>Case cards for older track</w:t>
      </w:r>
    </w:p>
    <w:p>
      <w:pPr>
        <w:pStyle w:val="ListBullet"/>
      </w:pPr>
      <w:r>
        <w:t>Snack and water supplies; cleanup bags</w:t>
      </w:r>
    </w:p>
    <w:p>
      <w:pPr>
        <w:pStyle w:val="ListBullet"/>
      </w:pPr>
      <w:r>
        <w:t>Home-practice saṅkalpa cards</w:t>
      </w:r>
    </w:p>
    <w:p>
      <w:pPr>
        <w:pStyle w:val="Heading2"/>
      </w:pPr>
      <w:r>
        <w:t>Do not claim</w:t>
      </w:r>
    </w:p>
    <w:p>
      <w:pPr>
        <w:pStyle w:val="ListBullet"/>
      </w:pPr>
      <w:r>
        <w:t>Human, temple, legal, or publication approval</w:t>
      </w:r>
    </w:p>
    <w:p>
      <w:pPr>
        <w:pStyle w:val="ListBullet"/>
      </w:pPr>
      <w:r>
        <w:t>That KUTUMBA teaching meanings are BBT translations</w:t>
      </w:r>
    </w:p>
    <w:p>
      <w:pPr>
        <w:pStyle w:val="ListBullet"/>
      </w:pPr>
      <w:r>
        <w:t>That science proves ātman, karma, or bhakti siddhānta</w:t>
      </w:r>
    </w:p>
    <w:p>
      <w:pPr>
        <w:pStyle w:val="ListBullet"/>
      </w:pPr>
      <w:r>
        <w:t>Ranking of families, children, or devotion</w:t>
      </w:r>
    </w:p>
    <w:p>
      <w:pPr>
        <w:pStyle w:val="ListBullet"/>
      </w:pPr>
      <w:r>
        <w:t>Advanced realization from one night of practice</w:t>
      </w:r>
    </w:p>
    <w:p>
      <w:pPr>
        <w:pStyle w:val="Heading2"/>
      </w:pPr>
      <w:r>
        <w:t>Saturday time cues (locked)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Clock</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w:t>
            </w:r>
          </w:p>
        </w:tc>
        <w:tc>
          <w:tcPr>
            <w:tcW w:type="dxa" w:w="4968"/>
            <w:tcMar>
              <w:top w:w="100" w:type="dxa"/>
              <w:start w:w="120" w:type="dxa"/>
              <w:bottom w:w="100" w:type="dxa"/>
              <w:end w:w="120" w:type="dxa"/>
            </w:tcMar>
            <w:vAlign w:val="top"/>
          </w:tcPr>
          <w:p>
            <w:r>
              <w:t>Facilitator arrival; room zones; snack/water table ready (no weekly meal)</w:t>
            </w:r>
          </w:p>
        </w:tc>
      </w:tr>
      <w:tr>
        <w:tc>
          <w:tcPr>
            <w:tcW w:type="dxa" w:w="4968"/>
            <w:tcMar>
              <w:top w:w="100" w:type="dxa"/>
              <w:start w:w="120" w:type="dxa"/>
              <w:bottom w:w="100" w:type="dxa"/>
              <w:end w:w="120" w:type="dxa"/>
            </w:tcMar>
            <w:shd w:fill="FFF8E8"/>
            <w:vAlign w:val="top"/>
          </w:tcPr>
          <w:p>
            <w:r>
              <w:t>2:00</w:t>
            </w:r>
          </w:p>
        </w:tc>
        <w:tc>
          <w:tcPr>
            <w:tcW w:type="dxa" w:w="4968"/>
            <w:tcMar>
              <w:top w:w="100" w:type="dxa"/>
              <w:start w:w="120" w:type="dxa"/>
              <w:bottom w:w="100" w:type="dxa"/>
              <w:end w:w="120" w:type="dxa"/>
            </w:tcMar>
            <w:shd w:fill="FFF8E8"/>
            <w:vAlign w:val="top"/>
          </w:tcPr>
          <w:p>
            <w:r>
              <w:t>Opening mantras / welcome; parents remain onsite</w:t>
            </w:r>
          </w:p>
        </w:tc>
      </w:tr>
      <w:tr>
        <w:tc>
          <w:tcPr>
            <w:tcW w:type="dxa" w:w="4968"/>
            <w:tcMar>
              <w:top w:w="100" w:type="dxa"/>
              <w:start w:w="120" w:type="dxa"/>
              <w:bottom w:w="100" w:type="dxa"/>
              <w:end w:w="120" w:type="dxa"/>
            </w:tcMar>
            <w:vAlign w:val="top"/>
          </w:tcPr>
          <w:p>
            <w:r>
              <w:t>2:10</w:t>
            </w:r>
          </w:p>
        </w:tc>
        <w:tc>
          <w:tcPr>
            <w:tcW w:type="dxa" w:w="4968"/>
            <w:tcMar>
              <w:top w:w="100" w:type="dxa"/>
              <w:start w:w="120" w:type="dxa"/>
              <w:bottom w:w="100" w:type="dxa"/>
              <w:end w:w="120" w:type="dxa"/>
            </w:tcMar>
            <w:vAlign w:val="top"/>
          </w:tcPr>
          <w:p>
            <w:r>
              <w:t>Opening script + verse layer (all ages together)</w:t>
            </w:r>
          </w:p>
        </w:tc>
      </w:tr>
      <w:tr>
        <w:tc>
          <w:tcPr>
            <w:tcW w:type="dxa" w:w="4968"/>
            <w:tcMar>
              <w:top w:w="100" w:type="dxa"/>
              <w:start w:w="120" w:type="dxa"/>
              <w:bottom w:w="100" w:type="dxa"/>
              <w:end w:w="120" w:type="dxa"/>
            </w:tcMar>
            <w:shd w:fill="FFF8E8"/>
            <w:vAlign w:val="top"/>
          </w:tcPr>
          <w:p>
            <w:r>
              <w:t>2:30</w:t>
            </w:r>
          </w:p>
        </w:tc>
        <w:tc>
          <w:tcPr>
            <w:tcW w:type="dxa" w:w="4968"/>
            <w:tcMar>
              <w:top w:w="100" w:type="dxa"/>
              <w:start w:w="120" w:type="dxa"/>
              <w:bottom w:w="100" w:type="dxa"/>
              <w:end w:w="120" w:type="dxa"/>
            </w:tcMar>
            <w:shd w:fill="FFF8E8"/>
            <w:vAlign w:val="top"/>
          </w:tcPr>
          <w:p>
            <w:r>
              <w:t>Age tracks (younger + older) with parents nearby / onsite</w:t>
            </w:r>
          </w:p>
        </w:tc>
      </w:tr>
      <w:tr>
        <w:tc>
          <w:tcPr>
            <w:tcW w:type="dxa" w:w="4968"/>
            <w:tcMar>
              <w:top w:w="100" w:type="dxa"/>
              <w:start w:w="120" w:type="dxa"/>
              <w:bottom w:w="100" w:type="dxa"/>
              <w:end w:w="120" w:type="dxa"/>
            </w:tcMar>
            <w:vAlign w:val="top"/>
          </w:tcPr>
          <w:p>
            <w:r>
              <w:t>3:10</w:t>
            </w:r>
          </w:p>
        </w:tc>
        <w:tc>
          <w:tcPr>
            <w:tcW w:type="dxa" w:w="4968"/>
            <w:tcMar>
              <w:top w:w="100" w:type="dxa"/>
              <w:start w:w="120" w:type="dxa"/>
              <w:bottom w:w="100" w:type="dxa"/>
              <w:end w:w="120" w:type="dxa"/>
            </w:tcMar>
            <w:vAlign w:val="top"/>
          </w:tcPr>
          <w:p>
            <w:r>
              <w:t>Reunification share (no ranking)</w:t>
            </w:r>
          </w:p>
        </w:tc>
      </w:tr>
      <w:tr>
        <w:tc>
          <w:tcPr>
            <w:tcW w:type="dxa" w:w="4968"/>
            <w:tcMar>
              <w:top w:w="100" w:type="dxa"/>
              <w:start w:w="120" w:type="dxa"/>
              <w:bottom w:w="100" w:type="dxa"/>
              <w:end w:w="120" w:type="dxa"/>
            </w:tcMar>
            <w:shd w:fill="FFF8E8"/>
            <w:vAlign w:val="top"/>
          </w:tcPr>
          <w:p>
            <w:r>
              <w:t>3:30</w:t>
            </w:r>
          </w:p>
        </w:tc>
        <w:tc>
          <w:tcPr>
            <w:tcW w:type="dxa" w:w="4968"/>
            <w:tcMar>
              <w:top w:w="100" w:type="dxa"/>
              <w:start w:w="120" w:type="dxa"/>
              <w:bottom w:w="100" w:type="dxa"/>
              <w:end w:w="120" w:type="dxa"/>
            </w:tcMar>
            <w:shd w:fill="FFF8E8"/>
            <w:vAlign w:val="top"/>
          </w:tcPr>
          <w:p>
            <w:r>
              <w:t>Snack and water</w:t>
            </w:r>
          </w:p>
        </w:tc>
      </w:tr>
      <w:tr>
        <w:tc>
          <w:tcPr>
            <w:tcW w:type="dxa" w:w="4968"/>
            <w:tcMar>
              <w:top w:w="100" w:type="dxa"/>
              <w:start w:w="120" w:type="dxa"/>
              <w:bottom w:w="100" w:type="dxa"/>
              <w:end w:w="120" w:type="dxa"/>
            </w:tcMar>
            <w:vAlign w:val="top"/>
          </w:tcPr>
          <w:p>
            <w:r>
              <w:t>3:40</w:t>
            </w:r>
          </w:p>
        </w:tc>
        <w:tc>
          <w:tcPr>
            <w:tcW w:type="dxa" w:w="4968"/>
            <w:tcMar>
              <w:top w:w="100" w:type="dxa"/>
              <w:start w:w="120" w:type="dxa"/>
              <w:bottom w:w="100" w:type="dxa"/>
              <w:end w:w="120" w:type="dxa"/>
            </w:tcMar>
            <w:vAlign w:val="top"/>
          </w:tcPr>
          <w:p>
            <w:r>
              <w:t>Saṅkalpa / home-practice card</w:t>
            </w:r>
          </w:p>
        </w:tc>
      </w:tr>
      <w:tr>
        <w:tc>
          <w:tcPr>
            <w:tcW w:type="dxa" w:w="4968"/>
            <w:tcMar>
              <w:top w:w="100" w:type="dxa"/>
              <w:start w:w="120" w:type="dxa"/>
              <w:bottom w:w="100" w:type="dxa"/>
              <w:end w:w="120" w:type="dxa"/>
            </w:tcMar>
            <w:shd w:fill="FFF8E8"/>
            <w:vAlign w:val="top"/>
          </w:tcPr>
          <w:p>
            <w:r>
              <w:t>3:55</w:t>
            </w:r>
          </w:p>
        </w:tc>
        <w:tc>
          <w:tcPr>
            <w:tcW w:type="dxa" w:w="4968"/>
            <w:tcMar>
              <w:top w:w="100" w:type="dxa"/>
              <w:start w:w="120" w:type="dxa"/>
              <w:bottom w:w="100" w:type="dxa"/>
              <w:end w:w="120" w:type="dxa"/>
            </w:tcMar>
            <w:shd w:fill="FFF8E8"/>
            <w:vAlign w:val="top"/>
          </w:tcPr>
          <w:p>
            <w:r>
              <w:t>Close and cleanup</w:t>
            </w:r>
          </w:p>
        </w:tc>
      </w:tr>
      <w:tr>
        <w:tc>
          <w:tcPr>
            <w:tcW w:type="dxa" w:w="4968"/>
            <w:tcMar>
              <w:top w:w="100" w:type="dxa"/>
              <w:start w:w="120" w:type="dxa"/>
              <w:bottom w:w="100" w:type="dxa"/>
              <w:end w:w="120" w:type="dxa"/>
            </w:tcMar>
            <w:vAlign w:val="top"/>
          </w:tcPr>
          <w:p>
            <w:r>
              <w:t>4:00</w:t>
            </w:r>
          </w:p>
        </w:tc>
        <w:tc>
          <w:tcPr>
            <w:tcW w:type="dxa" w:w="4968"/>
            <w:tcMar>
              <w:top w:w="100" w:type="dxa"/>
              <w:start w:w="120" w:type="dxa"/>
              <w:bottom w:w="100" w:type="dxa"/>
              <w:end w:w="120" w:type="dxa"/>
            </w:tcMar>
            <w:vAlign w:val="top"/>
          </w:tcPr>
          <w:p>
            <w:r>
              <w:t>End</w:t>
            </w:r>
          </w:p>
        </w:tc>
      </w:tr>
    </w:tbl>
    <w:p>
      <w:pPr>
        <w:spacing w:after="40"/>
      </w:pPr>
    </w:p>
    <w:p>
      <w:r>
        <w:t>Parents stay onsite for the full Saturday 2:00–4:00 window. Do not claim temple, human, or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C3-W1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