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C3-W2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Two-minute summary</w:t>
      </w:r>
    </w:p>
    <w:p>
      <w:r>
        <w:t>After knowing God as enjoyer, proprietor, and friend, families ask which Person scripture identifies as supreme. BG 7.7 answers without sectarian aggression: nothing is superior to Kṛṣṇa; all existence rests on Him as pearls on a thread. Support with BG 10.8 and ŚB 1.3.28 at link level. Use authorized Govardhana summary only — no invented dialogue.</w:t>
      </w:r>
    </w:p>
    <w:p>
      <w:r>
        <w:rPr>
          <w:b/>
        </w:rPr>
        <w:t>Primary:</w:t>
      </w:r>
      <w:r>
        <w:t xml:space="preserve"> BG 7.7 — https://vedabase.io/en/library/bg/7/7/</w:t>
      </w:r>
    </w:p>
    <w:p>
      <w:pPr>
        <w:pStyle w:val="Heading2"/>
      </w:pPr>
      <w:r>
        <w:t>Essential question</w:t>
      </w:r>
    </w:p>
    <w:p>
      <w:r>
        <w:t>Why do we say Kṛṣṇa is the Supreme Personality of Godhead?</w:t>
      </w:r>
    </w:p>
    <w:p>
      <w:pPr>
        <w:pStyle w:val="Heading2"/>
      </w:pPr>
      <w:r>
        <w:t>Learning outcomes (session)</w:t>
      </w:r>
    </w:p>
    <w:p>
      <w:pPr>
        <w:pStyle w:val="ListBullet"/>
      </w:pPr>
      <w:r>
        <w:t>State that nothing is superior to Kṛṣṇa and that everything rests on Him.</w:t>
      </w:r>
    </w:p>
    <w:p>
      <w:pPr>
        <w:pStyle w:val="ListBullet"/>
      </w:pPr>
      <w:r>
        <w:t>Support the claim with BG 7.7 and name supporting references BG 10.8 and ŚB 1.3.28.</w:t>
      </w:r>
    </w:p>
    <w:p>
      <w:pPr>
        <w:pStyle w:val="ListBullet"/>
      </w:pPr>
      <w:r>
        <w:t>Choose one authorized name, quality, or pastime to remember daily.</w:t>
      </w:r>
    </w:p>
    <w:p>
      <w:pPr>
        <w:pStyle w:val="ListBullet"/>
      </w:pPr>
      <w:r>
        <w:t>Children can say Kṛṣṇa is the Supreme Lord who protects devotees.</w:t>
      </w:r>
    </w:p>
    <w:p>
      <w:pPr>
        <w:pStyle w:val="Heading2"/>
      </w:pPr>
      <w:r>
        <w:t>15-minute night-before prep</w:t>
      </w:r>
    </w:p>
    <w:p>
      <w:pPr>
        <w:pStyle w:val="ListNumber"/>
      </w:pPr>
      <w:r>
        <w:t>Open https://vedabase.io/en/library/bg/7/7/ and read Devanāgarī, IAST, and the KUTUMBA teaching meaning aloud once.</w:t>
      </w:r>
    </w:p>
    <w:p>
      <w:pPr>
        <w:pStyle w:val="ListNumber"/>
      </w:pPr>
      <w:r>
        <w:t>Rehearse the exact opening script below without improvising new doctrine.</w:t>
      </w:r>
    </w:p>
    <w:p>
      <w:pPr>
        <w:pStyle w:val="ListNumber"/>
      </w:pPr>
      <w:r>
        <w:t>Pack younger materials and older materials listed under Materials.</w:t>
      </w:r>
    </w:p>
    <w:p>
      <w:pPr>
        <w:pStyle w:val="ListNumber"/>
      </w:pPr>
      <w:r>
        <w:t>Mark the week's primary misconception to block: Kṛṣṇa is only a mythic hero / one god among equals with no scriptural supremacy claim..</w:t>
      </w:r>
    </w:p>
    <w:p>
      <w:pPr>
        <w:pStyle w:val="ListNumber"/>
      </w:pPr>
      <w:r>
        <w:t>Confirm snack and water table (no weekly meal) and parent-onsite seating.</w:t>
      </w:r>
    </w:p>
    <w:p>
      <w:pPr>
        <w:pStyle w:val="ListNumber"/>
      </w:pPr>
      <w:r>
        <w:t>Print or open the home-practice card wording for saṅkalpa.</w:t>
      </w:r>
    </w:p>
    <w:p>
      <w:pPr>
        <w:pStyle w:val="Heading2"/>
      </w:pPr>
      <w:r>
        <w:t>60-minute deep prep</w:t>
      </w:r>
    </w:p>
    <w:p>
      <w:pPr>
        <w:pStyle w:val="ListNumber"/>
      </w:pPr>
      <w:r>
        <w:t>Read the Core explanation section twice; highlight three sentences you will say slowly.</w:t>
      </w:r>
    </w:p>
    <w:p>
      <w:pPr>
        <w:pStyle w:val="ListNumber"/>
      </w:pPr>
      <w:r>
        <w:t>Choose one analogy and one case you will actually use; mark time cues in the margin.</w:t>
      </w:r>
    </w:p>
    <w:p>
      <w:pPr>
        <w:pStyle w:val="ListNumber"/>
      </w:pPr>
      <w:r>
        <w:t>Prepare three questions: one discovery, one understanding, one application.</w:t>
      </w:r>
    </w:p>
    <w:p>
      <w:pPr>
        <w:pStyle w:val="ListNumber"/>
      </w:pPr>
      <w:r>
        <w:t>Walk the room: welcome zone, verse wall, younger track, older track, reunification circle, snack table.</w:t>
      </w:r>
    </w:p>
    <w:p>
      <w:pPr>
        <w:pStyle w:val="ListNumber"/>
      </w:pPr>
      <w:r>
        <w:t>Confirm younger and older teachers have executable guides (not shells) and activity packs.</w:t>
      </w:r>
    </w:p>
    <w:p>
      <w:pPr>
        <w:pStyle w:val="ListNumber"/>
      </w:pPr>
      <w:r>
        <w:t>Review deferral language: if a question exceeds week scope, thank the asker, note it, and schedule follow-up with a qualified source rather than inventing an answer.</w:t>
      </w:r>
    </w:p>
    <w:p>
      <w:pPr>
        <w:pStyle w:val="ListNumber"/>
      </w:pPr>
      <w:r>
        <w:t>Review safeguarding: no private home struggles disclosed publicly; no ranking; child opt-out roles available.</w:t>
      </w:r>
    </w:p>
    <w:p>
      <w:pPr>
        <w:pStyle w:val="Heading2"/>
      </w:pPr>
      <w:r>
        <w:t>Exact primary readings</w:t>
      </w:r>
    </w:p>
    <w:p>
      <w:pPr>
        <w:pStyle w:val="ListBullet"/>
      </w:pPr>
      <w:r>
        <w:rPr>
          <w:b/>
        </w:rPr>
        <w:t>Reference:</w:t>
      </w:r>
      <w:r>
        <w:t xml:space="preserve"> BG 7.7</w:t>
      </w:r>
    </w:p>
    <w:p>
      <w:pPr>
        <w:pStyle w:val="ListBullet"/>
      </w:pPr>
      <w:r>
        <w:rPr>
          <w:b/>
        </w:rPr>
        <w:t>URL:</w:t>
      </w:r>
      <w:r>
        <w:t xml:space="preserve"> https://vedabase.io/en/library/bg/7/7/</w:t>
      </w:r>
    </w:p>
    <w:p>
      <w:pPr>
        <w:pStyle w:val="ListBullet"/>
      </w:pPr>
      <w:r>
        <w:rPr>
          <w:b/>
        </w:rPr>
        <w:t>Devanāgarī:</w:t>
      </w:r>
      <w:r>
        <w:t xml:space="preserve"> मत्त: परतरं नान्यत्किञ्चिदस्ति धनञ्जय । मयि सर्वमिदं प्रोतं सूत्रे मणिगणा इव ॥ ७ ॥</w:t>
      </w:r>
    </w:p>
    <w:p>
      <w:pPr>
        <w:pStyle w:val="ListBullet"/>
      </w:pPr>
      <w:r>
        <w:rPr>
          <w:b/>
        </w:rPr>
        <w:t>IAST:</w:t>
      </w:r>
      <w:r>
        <w:t xml:space="preserve"> mattaḥ parataraṁ nānyat kiñcid asti dhanañ-jaya / mayi sarvam idaṁ protaṁ sūtre maṇi-gaṇā iva</w:t>
      </w:r>
    </w:p>
    <w:p>
      <w:pPr>
        <w:pStyle w:val="ListBullet"/>
      </w:pPr>
      <w:r>
        <w:rPr>
          <w:b/>
        </w:rPr>
        <w:t>KUTUMBA teaching meaning:</w:t>
      </w:r>
      <w:r>
        <w:t xml:space="preserve"> There is no truth superior to Kṛṣṇa; everything rests upon Him as pearls are strung on a thread.</w:t>
      </w:r>
    </w:p>
    <w:p>
      <w:pPr>
        <w:pStyle w:val="ListBullet"/>
      </w:pPr>
      <w:r>
        <w:rPr>
          <w:b/>
        </w:rPr>
        <w:t>Rights:</w:t>
      </w:r>
      <w:r>
        <w:t xml:space="preserve"> Sanskrit from VedaBase display; KUTUMBA teaching meaning is original program pedagogy — not labeled as a BBT English translation; do not paste full purports into slides or handouts.</w:t>
      </w:r>
    </w:p>
    <w:p>
      <w:pPr>
        <w:pStyle w:val="Heading2"/>
      </w:pPr>
      <w:r>
        <w:t>Supporting sources (link-level; summarize, do not copy purports)</w:t>
      </w:r>
    </w:p>
    <w:p>
      <w:pPr>
        <w:pStyle w:val="ListBullet"/>
      </w:pPr>
      <w:r>
        <w:t>BG 10.8 — https://vedabase.io/en/library/bg/10/8/</w:t>
      </w:r>
    </w:p>
    <w:p>
      <w:pPr>
        <w:pStyle w:val="ListBullet"/>
      </w:pPr>
      <w:r>
        <w:t>ŚB 1.3.28 — https://vedabase.io/en/library/sb/1/3/28/</w:t>
      </w:r>
    </w:p>
    <w:p>
      <w:pPr>
        <w:pStyle w:val="ListBullet"/>
      </w:pPr>
      <w:r>
        <w:t>Kṛṣṇa Book Introduction (link/local edition; no long paste)</w:t>
      </w:r>
    </w:p>
    <w:p>
      <w:pPr>
        <w:pStyle w:val="Heading2"/>
      </w:pPr>
      <w:r>
        <w:t>One-page speaking map</w:t>
      </w:r>
    </w:p>
    <w:p>
      <w:pPr>
        <w:pStyle w:val="ListNumber"/>
      </w:pPr>
      <w:r>
        <w:t>Welcome and memory of prior week (2–3 min)</w:t>
      </w:r>
    </w:p>
    <w:p>
      <w:pPr>
        <w:pStyle w:val="ListNumber"/>
      </w:pPr>
      <w:r>
        <w:t>Essential question (1 min)</w:t>
      </w:r>
    </w:p>
    <w:p>
      <w:pPr>
        <w:pStyle w:val="ListNumber"/>
      </w:pPr>
      <w:r>
        <w:t>Verse layer — Devanāgarī / IAST / teaching meaning (6–8 min)</w:t>
      </w:r>
    </w:p>
    <w:p>
      <w:pPr>
        <w:pStyle w:val="ListNumber"/>
      </w:pPr>
      <w:r>
        <w:t>Core explanation with board triangle or map (8–10 min)</w:t>
      </w:r>
    </w:p>
    <w:p>
      <w:pPr>
        <w:pStyle w:val="ListNumber"/>
      </w:pPr>
      <w:r>
        <w:t>One analogy with spoken limit (3 min)</w:t>
      </w:r>
    </w:p>
    <w:p>
      <w:pPr>
        <w:pStyle w:val="ListNumber"/>
      </w:pPr>
      <w:r>
        <w:t>One case study (5 min)</w:t>
      </w:r>
    </w:p>
    <w:p>
      <w:pPr>
        <w:pStyle w:val="ListNumber"/>
      </w:pPr>
      <w:r>
        <w:t>Age-track handoff (tracks 40 min)</w:t>
      </w:r>
    </w:p>
    <w:p>
      <w:pPr>
        <w:pStyle w:val="ListNumber"/>
      </w:pPr>
      <w:r>
        <w:t>Reunification share (8–10 min)</w:t>
      </w:r>
    </w:p>
    <w:p>
      <w:pPr>
        <w:pStyle w:val="ListNumber"/>
      </w:pPr>
      <w:r>
        <w:t>Snack/water</w:t>
      </w:r>
    </w:p>
    <w:p>
      <w:pPr>
        <w:pStyle w:val="ListNumber"/>
      </w:pPr>
      <w:r>
        <w:t>Home practice saṅkalpa and close</w:t>
      </w:r>
    </w:p>
    <w:p>
      <w:pPr>
        <w:pStyle w:val="Heading2"/>
      </w:pPr>
      <w:r>
        <w:t>Exact opening script</w:t>
      </w:r>
    </w:p>
    <w:p>
      <w:pPr>
        <w:pStyle w:val="Quote"/>
      </w:pPr>
      <w:r>
        <w:t>Welcome to C3-W2: Who Is Kṛṣṇa? The Supreme Personality of Godhead. Essential question: Why do we say Kṛṣṇa is the Supreme Personality of Godhead? From Bhagavad-gītā 7.7: There is no truth superior to Kṛṣṇa; everything rests upon Him as pearls are strung on a thread. We will hear scripture, practice respectful conviction, and avoid invented stories.</w:t>
      </w:r>
    </w:p>
    <w:p>
      <w:pPr>
        <w:pStyle w:val="Heading2"/>
      </w:pPr>
      <w:r>
        <w:t>Core explanation (teach this; do not outsource to research files)</w:t>
      </w:r>
    </w:p>
    <w:p>
      <w:pPr>
        <w:pStyle w:val="Heading3"/>
      </w:pPr>
      <w:r>
        <w:t>From peace formula to Person</w:t>
      </w:r>
    </w:p>
    <w:p>
      <w:r>
        <w:t>C3-W1 established God as enjoyer, proprietor, and friend. C3-W2 identifies the Person: Kṛṣṇa, the Supreme Personality of Godhead. The answer to “why Kṛṣṇa?” is not “because our club prefers Him.” Devotional conviction should be grounded in śāstra as presented by the ācārya.</w:t>
      </w:r>
    </w:p>
    <w:p>
      <w:pPr>
        <w:pStyle w:val="Heading3"/>
      </w:pPr>
      <w:r>
        <w:t>BG 7.7 — the supremacy claim and the thread image</w:t>
      </w:r>
    </w:p>
    <w:p>
      <w:r>
        <w:t>Kṛṣṇa tells Arjuna (Dhanañjaya) that there is nothing superior to Him. The pearl-thread image (sūtre maṇi-gaṇā iva) teaches dependence and unity-without-erasure: pearls are many; the thread holds them. Families can use a real necklace demo: remove the thread and the order collapses. Limit: pearls and thread are material; the analogy points to ontological dependence on Kṛṣṇa.</w:t>
      </w:r>
    </w:p>
    <w:p>
      <w:pPr>
        <w:pStyle w:val="Heading3"/>
      </w:pPr>
      <w:r>
        <w:t>Supporting triangle (link-level)</w:t>
      </w:r>
    </w:p>
    <w:p>
      <w:pPr>
        <w:pStyle w:val="ListNumber"/>
      </w:pPr>
      <w:r>
        <w:t>BG 7.7 — nothing superior; all rests on Kṛṣṇa.</w:t>
      </w:r>
    </w:p>
    <w:p>
      <w:pPr>
        <w:pStyle w:val="ListNumber"/>
      </w:pPr>
      <w:r>
        <w:t>BG 10.8 — Kṛṣṇa as the source of spiritual and material worlds (summarize; do not paste purport).</w:t>
      </w:r>
    </w:p>
    <w:p>
      <w:pPr>
        <w:pStyle w:val="ListNumber"/>
      </w:pPr>
      <w:r>
        <w:t>ŚB 1.3.28 — Kṛṣṇa as Bhagavān Himself among avatāras (kṛṣṇas tu bhagavān svayam) — teach carefully as identity clarity, not as an attack on other forms of the Lord.</w:t>
      </w:r>
    </w:p>
    <w:p>
      <w:pPr>
        <w:pStyle w:val="Heading3"/>
      </w:pPr>
      <w:r>
        <w:t>Govardhana — authorized, age-fit summary</w:t>
      </w:r>
    </w:p>
    <w:p>
      <w:r>
        <w:t>Use a simple authorized arc: Indra’s pride, villagers’ fear, Kṛṣṇa lifting Govardhana to protect, and the correction of pride toward dependence on Kṛṣṇa. Do not invent dialogue. For younger children, emphasize protection and care. For older students, add: extraordinary childhood pastimes do not reduce Kṛṣṇa to a comic-book hero; scripture presents Him as the Supreme Lord.</w:t>
      </w:r>
    </w:p>
    <w:p>
      <w:pPr>
        <w:pStyle w:val="Heading3"/>
      </w:pPr>
      <w:r>
        <w:t>Respectful conviction practice</w:t>
      </w:r>
    </w:p>
    <w:p>
      <w:r>
        <w:t>Train a two-minute answer: (1) name BG 7.7, (2) state the teaching meaning, (3) add one supporting reference, (4) stop without insulting others’ sincerity. Block aggressive debate and vague “all the same with no distinctions” talk that erases the verse.</w:t>
      </w:r>
    </w:p>
    <w:p>
      <w:pPr>
        <w:pStyle w:val="Heading3"/>
      </w:pPr>
      <w:r>
        <w:t>Boundaries</w:t>
      </w:r>
    </w:p>
    <w:p>
      <w:r>
        <w:t>No confidential rasa speculation. No Mṛgāri. No claiming temple approval. No ranking families by how many names they know.</w:t>
      </w:r>
    </w:p>
    <w:p>
      <w:pPr>
        <w:pStyle w:val="Heading2"/>
      </w:pPr>
      <w:r>
        <w:t>Minute-by-minute facilitator script (plenary portion)</w:t>
      </w:r>
    </w:p>
    <w:p>
      <w:pPr>
        <w:pStyle w:val="Heading3"/>
      </w:pPr>
      <w:r>
        <w:t>2:00–2:10 — Welcome and settling</w:t>
      </w:r>
    </w:p>
    <w:p>
      <w:r>
        <w:t>Greet each family by name if known. Point out restrooms, water, and the snack table timing (snack at 3:30, not a weekly meal). Remind parents they remain onsite. Open with the program’s authorized mantras using the local chanting sheet. Keep volume warm, not theatrical. If a child is dysregulated, offer a quiet helper role immediately rather than competing with the room.</w:t>
      </w:r>
    </w:p>
    <w:p>
      <w:pPr>
        <w:pStyle w:val="Heading3"/>
      </w:pPr>
      <w:r>
        <w:t>2:10–2:18 — Opening script and essential question</w:t>
      </w:r>
    </w:p>
    <w:p>
      <w:r>
        <w:t>Deliver the exact opening script without adding new doctrinal claims. Pause after the essential question. Collect two or three short responses. Do not debate. Write one phrase on the board that you will return to later. State the primary reference and URL verbally so older learners hear that scripture is locatable.</w:t>
      </w:r>
    </w:p>
    <w:p>
      <w:pPr>
        <w:pStyle w:val="Heading3"/>
      </w:pPr>
      <w:r>
        <w:t>2:18–2:28 — Verse layer</w:t>
      </w:r>
    </w:p>
    <w:p>
      <w:r>
        <w:t>Display Devanāgarī. Read slowly. Display IAST. Read slowly. Read the full KUTUMBA teaching meaning without truncation. Ask one child to repeat a memory phrase and one older learner to name the reference. If the primary is a multi-verse or long verse text, do not stop mid-verse. For C3-W4, end aloud on paraṁ vijayate śrī-kṛṣṇa-saṅkīrtanam. For C3-W5, include iti puṁsārpitā … ’dhītam uttamam. For C3-W6, recite the exact chain BG 5.29 · BG 7.7 · BG 4.34 · CC Antya 20.12 · ŚB 7.5.23–24.</w:t>
      </w:r>
    </w:p>
    <w:p>
      <w:pPr>
        <w:pStyle w:val="Heading3"/>
      </w:pPr>
      <w:r>
        <w:t>2:28–2:40 — Core map, analogy, and one case</w:t>
      </w:r>
    </w:p>
    <w:p>
      <w:r>
        <w:t>Teach the board map from the core explanation. Use exactly one analogy and speak its limit in the same breath. Run one case study with compassionate response language. Protect privacy: no family is asked to confess failures publicly. Transition: “Now we practice in age bands; parents stay onsite; we reunite at 3:10.”</w:t>
      </w:r>
    </w:p>
    <w:p>
      <w:pPr>
        <w:pStyle w:val="Heading3"/>
      </w:pPr>
      <w:r>
        <w:t>2:40–3:10 — Tracks (facilitator float)</w:t>
      </w:r>
    </w:p>
    <w:p>
      <w:r>
        <w:t>Float between younger and older rooms/zones. Ensure teachers are using executable guides, not improvising doctrine. Watch for punishment-chanting, ranking, or unsafe secrecy language and interrupt gently. Keep snack prep silent in the background.</w:t>
      </w:r>
    </w:p>
    <w:p>
      <w:pPr>
        <w:pStyle w:val="Heading3"/>
      </w:pPr>
      <w:r>
        <w:t>3:10–3:30 — Reunification and snack</w:t>
      </w:r>
    </w:p>
    <w:p>
      <w:r>
        <w:t>Use the reunification script. Limit shares to one sentence or one picture. Begin snack/water. No lesson competition during snack. Capture home-practice commitments on cards.</w:t>
      </w:r>
    </w:p>
    <w:p>
      <w:pPr>
        <w:pStyle w:val="Heading3"/>
      </w:pPr>
      <w:r>
        <w:t>3:40–4:00 — Saṅkalpa and close</w:t>
      </w:r>
    </w:p>
    <w:p>
      <w:r>
        <w:t>Read the minimum home practice. Invite one adult and one child to restate it. Preview next week in one sentence. Thank volunteers. Reset the room. End at 4:00.</w:t>
      </w:r>
    </w:p>
    <w:p>
      <w:pPr>
        <w:pStyle w:val="Heading2"/>
      </w:pPr>
      <w:r>
        <w:t>Facilitator voice examples (say / don’t say)</w:t>
      </w:r>
    </w:p>
    <w:p>
      <w:pPr>
        <w:pStyle w:val="Heading3"/>
      </w:pPr>
      <w:r>
        <w:t>Say</w:t>
      </w:r>
    </w:p>
    <w:p>
      <w:pPr>
        <w:pStyle w:val="ListBullet"/>
      </w:pPr>
      <w:r>
        <w:t>“Śāstra first — let’s open the verse.”</w:t>
      </w:r>
    </w:p>
    <w:p>
      <w:pPr>
        <w:pStyle w:val="ListBullet"/>
      </w:pPr>
      <w:r>
        <w:t>“That is a sincere question; we will note it and follow up with a qualified source.”</w:t>
      </w:r>
    </w:p>
    <w:p>
      <w:pPr>
        <w:pStyle w:val="ListBullet"/>
      </w:pPr>
      <w:r>
        <w:t>“Helper roles are real service.”</w:t>
      </w:r>
    </w:p>
    <w:p>
      <w:pPr>
        <w:pStyle w:val="ListBullet"/>
      </w:pPr>
      <w:r>
        <w:t>“We do not rank families.”</w:t>
      </w:r>
    </w:p>
    <w:p>
      <w:pPr>
        <w:pStyle w:val="Heading3"/>
      </w:pPr>
      <w:r>
        <w:t>Don’t say</w:t>
      </w:r>
    </w:p>
    <w:p>
      <w:pPr>
        <w:pStyle w:val="ListBullet"/>
      </w:pPr>
      <w:r>
        <w:t>“Your family is behind.”</w:t>
      </w:r>
    </w:p>
    <w:p>
      <w:pPr>
        <w:pStyle w:val="ListBullet"/>
      </w:pPr>
      <w:r>
        <w:t>“Chant until you behave.”</w:t>
      </w:r>
    </w:p>
    <w:p>
      <w:pPr>
        <w:pStyle w:val="ListBullet"/>
      </w:pPr>
      <w:r>
        <w:t>“Science has now proven this verse.”</w:t>
      </w:r>
    </w:p>
    <w:p>
      <w:pPr>
        <w:pStyle w:val="ListBullet"/>
      </w:pPr>
      <w:r>
        <w:t>“This material is temple-approved / publication-ready.” (It is EXTERNAL_OPEN for human/temple review.)</w:t>
      </w:r>
    </w:p>
    <w:p>
      <w:pPr>
        <w:pStyle w:val="ListBullet"/>
      </w:pPr>
      <w:r>
        <w:t>“Mṛgāri story time.” (Out of scope for Cycle 3.)</w:t>
      </w:r>
    </w:p>
    <w:p>
      <w:pPr>
        <w:pStyle w:val="Heading2"/>
      </w:pPr>
      <w:r>
        <w:t>Differentiation and newcomers</w:t>
      </w:r>
    </w:p>
    <w:p>
      <w:r>
        <w:t>Newcomer adults: give the two-minute summary and the home-practice card; do not flood with Sanskrit pressure. Newcomer children: pair with a buddy; allow listening-only kīrtana roles. Multilingual homes: English teaching meaning is enough for comprehension; Sanskrit is honored by hearing, not by forced accuracy on night one. If a family arrives late, skim to the verse layer and hand them the card; do not publicly recap someone else’s private share.</w:t>
      </w:r>
    </w:p>
    <w:p>
      <w:pPr>
        <w:pStyle w:val="Heading2"/>
      </w:pPr>
      <w:r>
        <w:t>Room stewardship checklist (executable)</w:t>
      </w:r>
    </w:p>
    <w:p>
      <w:pPr>
        <w:pStyle w:val="ListNumber"/>
      </w:pPr>
      <w:r>
        <w:t>Verse wall visible from both tracks’ return path.</w:t>
      </w:r>
    </w:p>
    <w:p>
      <w:pPr>
        <w:pStyle w:val="ListNumber"/>
      </w:pPr>
      <w:r>
        <w:t>Younger materials bag packed before 1:50.</w:t>
      </w:r>
    </w:p>
    <w:p>
      <w:pPr>
        <w:pStyle w:val="ListNumber"/>
      </w:pPr>
      <w:r>
        <w:t>Older worksheets and answer key (private) separated.</w:t>
      </w:r>
    </w:p>
    <w:p>
      <w:pPr>
        <w:pStyle w:val="ListNumber"/>
      </w:pPr>
      <w:r>
        <w:t>Water labeled; allergen note if any shared snack.</w:t>
      </w:r>
    </w:p>
    <w:p>
      <w:pPr>
        <w:pStyle w:val="ListNumber"/>
      </w:pPr>
      <w:r>
        <w:t>Timer visible for track teachers.</w:t>
      </w:r>
    </w:p>
    <w:p>
      <w:pPr>
        <w:pStyle w:val="ListNumber"/>
      </w:pPr>
      <w:r>
        <w:t>Safeguarding adult identified on the run-sheet.</w:t>
      </w:r>
    </w:p>
    <w:p>
      <w:pPr>
        <w:pStyle w:val="ListNumber"/>
      </w:pPr>
      <w:r>
        <w:t>Cleanup bags at doors by 3:50.</w:t>
      </w:r>
    </w:p>
    <w:p>
      <w:pPr>
        <w:pStyle w:val="ListNumber"/>
      </w:pPr>
      <w:r>
        <w:t>Lost-and-found box for craft pieces.</w:t>
      </w:r>
    </w:p>
    <w:p>
      <w:pPr>
        <w:pStyle w:val="Heading2"/>
      </w:pPr>
      <w:r>
        <w:t>Analogies (inline — with limits)</w:t>
      </w:r>
    </w:p>
    <w:p>
      <w:pPr>
        <w:pStyle w:val="Heading3"/>
      </w:pPr>
      <w:r>
        <w:t>Analogy 1: Pearl necklace</w:t>
      </w:r>
    </w:p>
    <w:p>
      <w:pPr>
        <w:pStyle w:val="ListBullet"/>
      </w:pPr>
      <w:r>
        <w:rPr>
          <w:b/>
        </w:rPr>
        <w:t>Say:</w:t>
      </w:r>
      <w:r>
        <w:t xml:space="preserve"> Many pearls; one thread holds the strand together.</w:t>
      </w:r>
    </w:p>
    <w:p>
      <w:pPr>
        <w:pStyle w:val="ListBullet"/>
      </w:pPr>
      <w:r>
        <w:rPr>
          <w:b/>
        </w:rPr>
        <w:t>Limit:</w:t>
      </w:r>
      <w:r>
        <w:t xml:space="preserve"> Thread and pearls are material props, not the Lord.</w:t>
      </w:r>
    </w:p>
    <w:p>
      <w:pPr>
        <w:pStyle w:val="ListBullet"/>
      </w:pPr>
      <w:r>
        <w:rPr>
          <w:b/>
        </w:rPr>
        <w:t>Bridge back to verse:</w:t>
      </w:r>
      <w:r>
        <w:t xml:space="preserve"> mayi sarvam idaṁ protaṁ sūtre maṇi-gaṇā iva</w:t>
      </w:r>
    </w:p>
    <w:p>
      <w:pPr>
        <w:pStyle w:val="Heading3"/>
      </w:pPr>
      <w:r>
        <w:t>Analogy 2: Sun and sunlight</w:t>
      </w:r>
    </w:p>
    <w:p>
      <w:pPr>
        <w:pStyle w:val="ListBullet"/>
      </w:pPr>
      <w:r>
        <w:rPr>
          <w:b/>
        </w:rPr>
        <w:t>Say:</w:t>
      </w:r>
      <w:r>
        <w:t xml:space="preserve"> Many rays depend on one sun; the sun is not ‘just another ray.’</w:t>
      </w:r>
    </w:p>
    <w:p>
      <w:pPr>
        <w:pStyle w:val="ListBullet"/>
      </w:pPr>
      <w:r>
        <w:rPr>
          <w:b/>
        </w:rPr>
        <w:t>Limit:</w:t>
      </w:r>
      <w:r>
        <w:t xml:space="preserve"> Do not collapse personal God into impersonal light only.</w:t>
      </w:r>
    </w:p>
    <w:p>
      <w:pPr>
        <w:pStyle w:val="ListBullet"/>
      </w:pPr>
      <w:r>
        <w:rPr>
          <w:b/>
        </w:rPr>
        <w:t>Bridge back to verse:</w:t>
      </w:r>
      <w:r>
        <w:t xml:space="preserve"> Return to mattaḥ parataram — nothing superior to Kṛṣṇa.</w:t>
      </w:r>
    </w:p>
    <w:p>
      <w:pPr>
        <w:pStyle w:val="Heading3"/>
      </w:pPr>
      <w:r>
        <w:t>Analogy 3: Root and branches</w:t>
      </w:r>
    </w:p>
    <w:p>
      <w:pPr>
        <w:pStyle w:val="ListBullet"/>
      </w:pPr>
      <w:r>
        <w:rPr>
          <w:b/>
        </w:rPr>
        <w:t>Say:</w:t>
      </w:r>
      <w:r>
        <w:t xml:space="preserve"> Branches are many; life flows from the root.</w:t>
      </w:r>
    </w:p>
    <w:p>
      <w:pPr>
        <w:pStyle w:val="ListBullet"/>
      </w:pPr>
      <w:r>
        <w:rPr>
          <w:b/>
        </w:rPr>
        <w:t>Limit:</w:t>
      </w:r>
      <w:r>
        <w:t xml:space="preserve"> Biological roots are not theology; use only to teach dependence.</w:t>
      </w:r>
    </w:p>
    <w:p>
      <w:pPr>
        <w:pStyle w:val="ListBullet"/>
      </w:pPr>
      <w:r>
        <w:rPr>
          <w:b/>
        </w:rPr>
        <w:t>Bridge back to verse:</w:t>
      </w:r>
      <w:r>
        <w:t xml:space="preserve"> Point to BG 10.8 source statement at link level.</w:t>
      </w:r>
    </w:p>
    <w:p>
      <w:pPr>
        <w:pStyle w:val="Heading2"/>
      </w:pPr>
      <w:r>
        <w:t>Case studies (three constructed pedagogical cases)</w:t>
      </w:r>
    </w:p>
    <w:p>
      <w:pPr>
        <w:pStyle w:val="Heading3"/>
      </w:pPr>
      <w:r>
        <w:t>Case 1: Preference vs evidence</w:t>
      </w:r>
    </w:p>
    <w:p>
      <w:pPr>
        <w:pStyle w:val="ListBullet"/>
      </w:pPr>
      <w:r>
        <w:rPr>
          <w:b/>
        </w:rPr>
        <w:t>Situation:</w:t>
      </w:r>
      <w:r>
        <w:t xml:space="preserve"> A teen says, ‘We only say Kṛṣṇa is supreme because this is our culture.’</w:t>
      </w:r>
    </w:p>
    <w:p>
      <w:pPr>
        <w:pStyle w:val="ListBullet"/>
      </w:pPr>
      <w:r>
        <w:rPr>
          <w:b/>
        </w:rPr>
        <w:t>Mistaken conclusion:</w:t>
      </w:r>
      <w:r>
        <w:t xml:space="preserve"> Theology is only ethnic preference.</w:t>
      </w:r>
    </w:p>
    <w:p>
      <w:pPr>
        <w:pStyle w:val="ListBullet"/>
      </w:pPr>
      <w:r>
        <w:rPr>
          <w:b/>
        </w:rPr>
        <w:t>Principle from primary:</w:t>
      </w:r>
      <w:r>
        <w:t xml:space="preserve"> BG 7.7 makes a scriptural claim; culture may carry it, but does not create it.</w:t>
      </w:r>
    </w:p>
    <w:p>
      <w:pPr>
        <w:pStyle w:val="ListBullet"/>
      </w:pPr>
      <w:r>
        <w:rPr>
          <w:b/>
        </w:rPr>
        <w:t>Compassionate response (say):</w:t>
      </w:r>
      <w:r>
        <w:t xml:space="preserve"> Affirm honesty; open the verse; practice a calm evidence sentence.</w:t>
      </w:r>
    </w:p>
    <w:p>
      <w:pPr>
        <w:pStyle w:val="ListBullet"/>
      </w:pPr>
      <w:r>
        <w:rPr>
          <w:b/>
        </w:rPr>
        <w:t>Family action (5–15 min):</w:t>
      </w:r>
      <w:r>
        <w:t xml:space="preserve"> Write BG 7.7 teaching meaning on a card and read it once daily for three days.</w:t>
      </w:r>
    </w:p>
    <w:p>
      <w:pPr>
        <w:pStyle w:val="ListBullet"/>
      </w:pPr>
      <w:r>
        <w:rPr>
          <w:b/>
        </w:rPr>
        <w:t>What not to say:</w:t>
      </w:r>
      <w:r>
        <w:t xml:space="preserve"> Shaming the teen as faithless.</w:t>
      </w:r>
    </w:p>
    <w:p>
      <w:pPr>
        <w:pStyle w:val="Heading3"/>
      </w:pPr>
      <w:r>
        <w:t>Case 2: Aggressive debate at school</w:t>
      </w:r>
    </w:p>
    <w:p>
      <w:pPr>
        <w:pStyle w:val="ListBullet"/>
      </w:pPr>
      <w:r>
        <w:rPr>
          <w:b/>
        </w:rPr>
        <w:t>Situation:</w:t>
      </w:r>
      <w:r>
        <w:t xml:space="preserve"> A student wins an argument about God but loses a friendship.</w:t>
      </w:r>
    </w:p>
    <w:p>
      <w:pPr>
        <w:pStyle w:val="ListBullet"/>
      </w:pPr>
      <w:r>
        <w:rPr>
          <w:b/>
        </w:rPr>
        <w:t>Mistaken conclusion:</w:t>
      </w:r>
      <w:r>
        <w:t xml:space="preserve"> Victory in debate equals devotion.</w:t>
      </w:r>
    </w:p>
    <w:p>
      <w:pPr>
        <w:pStyle w:val="ListBullet"/>
      </w:pPr>
      <w:r>
        <w:rPr>
          <w:b/>
        </w:rPr>
        <w:t>Principle from primary:</w:t>
      </w:r>
      <w:r>
        <w:t xml:space="preserve"> Respectful conviction; Kṛṣṇa is attractive, not a weapon.</w:t>
      </w:r>
    </w:p>
    <w:p>
      <w:pPr>
        <w:pStyle w:val="ListBullet"/>
      </w:pPr>
      <w:r>
        <w:rPr>
          <w:b/>
        </w:rPr>
        <w:t>Compassionate response (say):</w:t>
      </w:r>
      <w:r>
        <w:t xml:space="preserve"> Separate clarity from cruelty; rehearse a two-minute gentle answer.</w:t>
      </w:r>
    </w:p>
    <w:p>
      <w:pPr>
        <w:pStyle w:val="ListBullet"/>
      </w:pPr>
      <w:r>
        <w:rPr>
          <w:b/>
        </w:rPr>
        <w:t>Family action (5–15 min):</w:t>
      </w:r>
      <w:r>
        <w:t xml:space="preserve"> Role-play one respectful reply with a parent.</w:t>
      </w:r>
    </w:p>
    <w:p>
      <w:pPr>
        <w:pStyle w:val="ListBullet"/>
      </w:pPr>
      <w:r>
        <w:rPr>
          <w:b/>
        </w:rPr>
        <w:t>What not to say:</w:t>
      </w:r>
      <w:r>
        <w:t xml:space="preserve"> Praising humiliation of peers.</w:t>
      </w:r>
    </w:p>
    <w:p>
      <w:pPr>
        <w:pStyle w:val="Heading3"/>
      </w:pPr>
      <w:r>
        <w:t>Case 3: Invented pastime pressure</w:t>
      </w:r>
    </w:p>
    <w:p>
      <w:pPr>
        <w:pStyle w:val="ListBullet"/>
      </w:pPr>
      <w:r>
        <w:rPr>
          <w:b/>
        </w:rPr>
        <w:t>Situation:</w:t>
      </w:r>
      <w:r>
        <w:t xml:space="preserve"> A relative tells vivid undocumented childhood stories ‘to make kids love Kṛṣṇa.’</w:t>
      </w:r>
    </w:p>
    <w:p>
      <w:pPr>
        <w:pStyle w:val="ListBullet"/>
      </w:pPr>
      <w:r>
        <w:rPr>
          <w:b/>
        </w:rPr>
        <w:t>Mistaken conclusion:</w:t>
      </w:r>
      <w:r>
        <w:t xml:space="preserve"> Any inspiring story is fine if it feels sweet.</w:t>
      </w:r>
    </w:p>
    <w:p>
      <w:pPr>
        <w:pStyle w:val="ListBullet"/>
      </w:pPr>
      <w:r>
        <w:rPr>
          <w:b/>
        </w:rPr>
        <w:t>Principle from primary:</w:t>
      </w:r>
      <w:r>
        <w:t xml:space="preserve"> Source-bound kathā only.</w:t>
      </w:r>
    </w:p>
    <w:p>
      <w:pPr>
        <w:pStyle w:val="ListBullet"/>
      </w:pPr>
      <w:r>
        <w:rPr>
          <w:b/>
        </w:rPr>
        <w:t>Compassionate response (say):</w:t>
      </w:r>
      <w:r>
        <w:t xml:space="preserve"> Thank the intention; replace with an authorized Govardhana summary.</w:t>
      </w:r>
    </w:p>
    <w:p>
      <w:pPr>
        <w:pStyle w:val="ListBullet"/>
      </w:pPr>
      <w:r>
        <w:rPr>
          <w:b/>
        </w:rPr>
        <w:t>Family action (5–15 min):</w:t>
      </w:r>
      <w:r>
        <w:t xml:space="preserve"> Family chooses one authorized name/quality for the week.</w:t>
      </w:r>
    </w:p>
    <w:p>
      <w:pPr>
        <w:pStyle w:val="ListBullet"/>
      </w:pPr>
      <w:r>
        <w:rPr>
          <w:b/>
        </w:rPr>
        <w:t>What not to say:</w:t>
      </w:r>
      <w:r>
        <w:t xml:space="preserve"> Publicly ridiculing the relative.</w:t>
      </w:r>
    </w:p>
    <w:p>
      <w:pPr>
        <w:pStyle w:val="Heading2"/>
      </w:pPr>
      <w:r>
        <w:t>Facilitator questions</w:t>
      </w:r>
    </w:p>
    <w:p>
      <w:pPr>
        <w:pStyle w:val="Heading3"/>
      </w:pPr>
      <w:r>
        <w:t>Discovery</w:t>
      </w:r>
    </w:p>
    <w:p>
      <w:pPr>
        <w:pStyle w:val="ListBullet"/>
      </w:pPr>
      <w:r>
        <w:t>What claim does Kṛṣṇa make in BG 7.7?</w:t>
      </w:r>
    </w:p>
    <w:p>
      <w:pPr>
        <w:pStyle w:val="ListBullet"/>
      </w:pPr>
      <w:r>
        <w:t>What image does the verse use for dependence?</w:t>
      </w:r>
    </w:p>
    <w:p>
      <w:pPr>
        <w:pStyle w:val="ListBullet"/>
      </w:pPr>
      <w:r>
        <w:t>Which supporting verses name source and svayam-bhagavān identity?</w:t>
      </w:r>
    </w:p>
    <w:p>
      <w:pPr>
        <w:pStyle w:val="Heading3"/>
      </w:pPr>
      <w:r>
        <w:t>Understanding</w:t>
      </w:r>
    </w:p>
    <w:p>
      <w:pPr>
        <w:pStyle w:val="ListBullet"/>
      </w:pPr>
      <w:r>
        <w:t>How is supremacy different from sectarian insult?</w:t>
      </w:r>
    </w:p>
    <w:p>
      <w:pPr>
        <w:pStyle w:val="ListBullet"/>
      </w:pPr>
      <w:r>
        <w:t>Why do extraordinary pastimes not make Kṛṣṇa ‘just a hero myth’?</w:t>
      </w:r>
    </w:p>
    <w:p>
      <w:pPr>
        <w:pStyle w:val="ListBullet"/>
      </w:pPr>
      <w:r>
        <w:t>What is the limit of the pearl-thread analogy?</w:t>
      </w:r>
    </w:p>
    <w:p>
      <w:pPr>
        <w:pStyle w:val="Heading3"/>
      </w:pPr>
      <w:r>
        <w:t>Application</w:t>
      </w:r>
    </w:p>
    <w:p>
      <w:pPr>
        <w:pStyle w:val="ListBullet"/>
      </w:pPr>
      <w:r>
        <w:t>Which authorized name or quality will you remember daily?</w:t>
      </w:r>
    </w:p>
    <w:p>
      <w:pPr>
        <w:pStyle w:val="ListBullet"/>
      </w:pPr>
      <w:r>
        <w:t>How will you answer a sincere question without attack?</w:t>
      </w:r>
    </w:p>
    <w:p>
      <w:pPr>
        <w:pStyle w:val="ListBullet"/>
      </w:pPr>
      <w:r>
        <w:t>Where will the necklace demo live at home this week?</w:t>
      </w:r>
    </w:p>
    <w:p>
      <w:pPr>
        <w:pStyle w:val="Heading2"/>
      </w:pPr>
      <w:r>
        <w:t>Adult FAQ (likely room questions)</w:t>
      </w:r>
    </w:p>
    <w:p>
      <w:r>
        <w:rPr>
          <w:b/>
        </w:rPr>
        <w:t>Q:</w:t>
      </w:r>
      <w:r>
        <w:t xml:space="preserve"> Does this disrespect other forms of God? </w:t>
      </w:r>
      <w:r>
        <w:rPr>
          <w:b/>
        </w:rPr>
        <w:t>A:</w:t>
      </w:r>
      <w:r>
        <w:t xml:space="preserve"> Teach distinctions without contempt. Śāstra presents Kṛṣṇa’s unique position; facilitators should not mock others’ sincerity. Defer deep comparative questions to qualified teachers.</w:t>
      </w:r>
    </w:p>
    <w:p>
      <w:r>
        <w:rPr>
          <w:b/>
        </w:rPr>
        <w:t>Q:</w:t>
      </w:r>
      <w:r>
        <w:t xml:space="preserve"> Can we show cartoons? </w:t>
      </w:r>
      <w:r>
        <w:rPr>
          <w:b/>
        </w:rPr>
        <w:t>A:</w:t>
      </w:r>
      <w:r>
        <w:t xml:space="preserve"> Only if locally approved and source-faithful. Prefer simple felt-board or authorized book illustrations rights-cleared for your setting.</w:t>
      </w:r>
    </w:p>
    <w:p>
      <w:r>
        <w:rPr>
          <w:b/>
        </w:rPr>
        <w:t>Q:</w:t>
      </w:r>
      <w:r>
        <w:t xml:space="preserve"> Is supremacy scientifically provable? </w:t>
      </w:r>
      <w:r>
        <w:rPr>
          <w:b/>
        </w:rPr>
        <w:t>A:</w:t>
      </w:r>
      <w:r>
        <w:t xml:space="preserve"> No. Doctrine rests on śāstra. Science is N/A for proving BG 7.7.</w:t>
      </w:r>
    </w:p>
    <w:p>
      <w:pPr>
        <w:pStyle w:val="Heading2"/>
      </w:pPr>
      <w:r>
        <w:t>Common misconceptions to correct gently</w:t>
      </w:r>
    </w:p>
    <w:p>
      <w:pPr>
        <w:pStyle w:val="ListBullet"/>
      </w:pPr>
      <w:r>
        <w:t>Kṛṣṇa is merely a cultural preference.</w:t>
      </w:r>
    </w:p>
    <w:p>
      <w:pPr>
        <w:pStyle w:val="ListBullet"/>
      </w:pPr>
      <w:r>
        <w:t>Supremacy requires harsh debate.</w:t>
      </w:r>
    </w:p>
    <w:p>
      <w:pPr>
        <w:pStyle w:val="ListBullet"/>
      </w:pPr>
      <w:r>
        <w:t>Any invented sweet story is authorized kathā.</w:t>
      </w:r>
    </w:p>
    <w:p>
      <w:pPr>
        <w:pStyle w:val="ListBullet"/>
      </w:pPr>
      <w:r>
        <w:t>Pearl analogy is literal metaphysics.</w:t>
      </w:r>
    </w:p>
    <w:p>
      <w:pPr>
        <w:pStyle w:val="Heading2"/>
      </w:pPr>
      <w:r>
        <w:t>Doctrinal and delivery boundaries</w:t>
      </w:r>
    </w:p>
    <w:p>
      <w:pPr>
        <w:pStyle w:val="ListBullet"/>
      </w:pPr>
      <w:r>
        <w:t>No invented līlā dialogue.</w:t>
      </w:r>
    </w:p>
    <w:p>
      <w:pPr>
        <w:pStyle w:val="ListBullet"/>
      </w:pPr>
      <w:r>
        <w:t>No confidential subjects.</w:t>
      </w:r>
    </w:p>
    <w:p>
      <w:pPr>
        <w:pStyle w:val="ListBullet"/>
      </w:pPr>
      <w:r>
        <w:t>No Mṛgāri.</w:t>
      </w:r>
    </w:p>
    <w:p>
      <w:pPr>
        <w:pStyle w:val="ListBullet"/>
      </w:pPr>
      <w:r>
        <w:t>No false approvals.</w:t>
      </w:r>
    </w:p>
    <w:p>
      <w:pPr>
        <w:pStyle w:val="Heading2"/>
      </w:pPr>
      <w:r>
        <w:t>Track facilitation notes</w:t>
      </w:r>
    </w:p>
    <w:p>
      <w:pPr>
        <w:pStyle w:val="Heading3"/>
      </w:pPr>
      <w:r>
        <w:t>Younger track (K–2 / Lāla–Lālī)</w:t>
      </w:r>
    </w:p>
    <w:p>
      <w:pPr>
        <w:pStyle w:val="ListBullet"/>
      </w:pPr>
      <w:r>
        <w:t>Objective: Children meet Kṛṣṇa as Supreme Protector through authorized Govardhana pictures and the pearl-thread image.</w:t>
      </w:r>
    </w:p>
    <w:p>
      <w:pPr>
        <w:pStyle w:val="ListBullet"/>
      </w:pPr>
      <w:r>
        <w:t>Memory phrase: Nothing is higher than Kṛṣṇa — everything rests on Him like pearls on a thread.</w:t>
      </w:r>
    </w:p>
    <w:p>
      <w:pPr>
        <w:pStyle w:val="ListBullet"/>
      </w:pPr>
      <w:r>
        <w:t>Keep movement short; prefer recognition over recitation pressure.</w:t>
      </w:r>
    </w:p>
    <w:p>
      <w:pPr>
        <w:pStyle w:val="ListBullet"/>
      </w:pPr>
      <w:r>
        <w:t>Handoff to reunification with one picture or gesture share.</w:t>
      </w:r>
    </w:p>
    <w:p>
      <w:pPr>
        <w:pStyle w:val="Heading3"/>
      </w:pPr>
      <w:r>
        <w:t>Older track (Kiśora–Kiśorī)</w:t>
      </w:r>
    </w:p>
    <w:p>
      <w:pPr>
        <w:pStyle w:val="ListBullet"/>
      </w:pPr>
      <w:r>
        <w:t>Objective: Students distinguish verse-supported supremacy from preference, aggression, and vague relativism.</w:t>
      </w:r>
    </w:p>
    <w:p>
      <w:pPr>
        <w:pStyle w:val="ListBullet"/>
      </w:pPr>
      <w:r>
        <w:t>Require source naming (BG 7.7) before opinions.</w:t>
      </w:r>
    </w:p>
    <w:p>
      <w:pPr>
        <w:pStyle w:val="ListBullet"/>
      </w:pPr>
      <w:r>
        <w:t>Use text observation + one case repair; no competitive scoring.</w:t>
      </w:r>
    </w:p>
    <w:p>
      <w:pPr>
        <w:pStyle w:val="Heading2"/>
      </w:pPr>
      <w:r>
        <w:t>Reunification script</w:t>
      </w:r>
    </w:p>
    <w:p>
      <w:pPr>
        <w:pStyle w:val="Quote"/>
      </w:pPr>
      <w:r>
        <w:t>Welcome back. We will hear a few short shares — a word, a picture, or one sentence — without ranking families. What did you notice about Kṛṣṇa’s supremacy and attractiveness without fighting? Our home step is small and steady: Remember one authorized name or quality of Kṛṣṇa once daily.. Next week we move to C3-W3 — Guru, Sādhu and Śāstra without dropping this week's practice.</w:t>
      </w:r>
    </w:p>
    <w:p>
      <w:pPr>
        <w:pStyle w:val="Heading2"/>
      </w:pPr>
      <w:r>
        <w:t>Home practice and saṅkalpa</w:t>
      </w:r>
    </w:p>
    <w:p>
      <w:pPr>
        <w:pStyle w:val="ListBullet"/>
      </w:pPr>
      <w:r>
        <w:rPr>
          <w:b/>
        </w:rPr>
        <w:t>Minimum home practice:</w:t>
      </w:r>
      <w:r>
        <w:t xml:space="preserve"> Remember one authorized name or quality of Kṛṣṇa once daily.</w:t>
      </w:r>
    </w:p>
    <w:p>
      <w:pPr>
        <w:pStyle w:val="ListBullet"/>
      </w:pPr>
      <w:r>
        <w:rPr>
          <w:b/>
        </w:rPr>
        <w:t>Bhakti laboratory cue:</w:t>
      </w:r>
      <w:r>
        <w:t xml:space="preserve"> Authorized Kṛṣṇa-kathā retelling</w:t>
      </w:r>
    </w:p>
    <w:p>
      <w:pPr>
        <w:pStyle w:val="ListBullet"/>
      </w:pPr>
      <w:r>
        <w:t>Write the card before closing; invite one adult and one child to restate it.</w:t>
      </w:r>
    </w:p>
    <w:p>
      <w:pPr>
        <w:pStyle w:val="Heading2"/>
      </w:pPr>
      <w:r>
        <w:t>Transition to next week</w:t>
      </w:r>
    </w:p>
    <w:p>
      <w:r>
        <w:t>Keep one name/quality remembrance. Next week teaches how we safely receive knowledge through guru, sādhu, and śāstra (BG 4.34).</w:t>
      </w:r>
    </w:p>
    <w:p>
      <w:pPr>
        <w:pStyle w:val="Heading2"/>
      </w:pPr>
      <w:r>
        <w:t>Materials checklist</w:t>
      </w:r>
    </w:p>
    <w:p>
      <w:pPr>
        <w:pStyle w:val="ListBullet"/>
      </w:pPr>
      <w:r>
        <w:t>BG 7.7 verse card</w:t>
      </w:r>
    </w:p>
    <w:p>
      <w:pPr>
        <w:pStyle w:val="ListBullet"/>
      </w:pPr>
      <w:r>
        <w:t>Pearl necklace demo</w:t>
      </w:r>
    </w:p>
    <w:p>
      <w:pPr>
        <w:pStyle w:val="ListBullet"/>
      </w:pPr>
      <w:r>
        <w:t>Govardhana picture sequence (rights-safe)</w:t>
      </w:r>
    </w:p>
    <w:p>
      <w:pPr>
        <w:pStyle w:val="ListBullet"/>
      </w:pPr>
      <w:r>
        <w:t>Supporting reference cards BG 10.8 / ŚB 1.3.28</w:t>
      </w:r>
    </w:p>
    <w:p>
      <w:pPr>
        <w:pStyle w:val="ListBullet"/>
      </w:pPr>
      <w:r>
        <w:t>Snack/water</w:t>
      </w:r>
    </w:p>
    <w:p>
      <w:pPr>
        <w:pStyle w:val="Heading2"/>
      </w:pPr>
      <w:r>
        <w:t>Do not claim</w:t>
      </w:r>
    </w:p>
    <w:p>
      <w:pPr>
        <w:pStyle w:val="ListBullet"/>
      </w:pPr>
      <w:r>
        <w:t>Human, temple, legal, or publication approval</w:t>
      </w:r>
    </w:p>
    <w:p>
      <w:pPr>
        <w:pStyle w:val="ListBullet"/>
      </w:pPr>
      <w:r>
        <w:t>That KUTUMBA teaching meanings are BBT translations</w:t>
      </w:r>
    </w:p>
    <w:p>
      <w:pPr>
        <w:pStyle w:val="ListBullet"/>
      </w:pPr>
      <w:r>
        <w:t>That science proves ātman, karma, or bhakti siddhānta</w:t>
      </w:r>
    </w:p>
    <w:p>
      <w:pPr>
        <w:pStyle w:val="ListBullet"/>
      </w:pPr>
      <w:r>
        <w:t>Ranking of families, children, or devotion</w:t>
      </w:r>
    </w:p>
    <w:p>
      <w:pPr>
        <w:pStyle w:val="ListBullet"/>
      </w:pPr>
      <w:r>
        <w:t>Advanced realization from one night of practice</w:t>
      </w:r>
    </w:p>
    <w:p>
      <w:pPr>
        <w:pStyle w:val="Heading2"/>
      </w:pPr>
      <w:r>
        <w:t>Saturday time cues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Clock</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w:t>
            </w:r>
          </w:p>
        </w:tc>
        <w:tc>
          <w:tcPr>
            <w:tcW w:type="dxa" w:w="4968"/>
            <w:tcMar>
              <w:top w:w="100" w:type="dxa"/>
              <w:start w:w="120" w:type="dxa"/>
              <w:bottom w:w="100" w:type="dxa"/>
              <w:end w:w="120" w:type="dxa"/>
            </w:tcMar>
            <w:vAlign w:val="top"/>
          </w:tcPr>
          <w:p>
            <w:r>
              <w:t>Facilitator arrival; room zones; snack/water table ready (no weekly meal)</w:t>
            </w:r>
          </w:p>
        </w:tc>
      </w:tr>
      <w:tr>
        <w:tc>
          <w:tcPr>
            <w:tcW w:type="dxa" w:w="4968"/>
            <w:tcMar>
              <w:top w:w="100" w:type="dxa"/>
              <w:start w:w="120" w:type="dxa"/>
              <w:bottom w:w="100" w:type="dxa"/>
              <w:end w:w="120" w:type="dxa"/>
            </w:tcMar>
            <w:shd w:fill="FFF8E8"/>
            <w:vAlign w:val="top"/>
          </w:tcPr>
          <w:p>
            <w:r>
              <w:t>2:00</w:t>
            </w:r>
          </w:p>
        </w:tc>
        <w:tc>
          <w:tcPr>
            <w:tcW w:type="dxa" w:w="4968"/>
            <w:tcMar>
              <w:top w:w="100" w:type="dxa"/>
              <w:start w:w="120" w:type="dxa"/>
              <w:bottom w:w="100" w:type="dxa"/>
              <w:end w:w="120" w:type="dxa"/>
            </w:tcMar>
            <w:shd w:fill="FFF8E8"/>
            <w:vAlign w:val="top"/>
          </w:tcPr>
          <w:p>
            <w:r>
              <w:t>Opening mantras / welcome; parents remain onsite</w:t>
            </w:r>
          </w:p>
        </w:tc>
      </w:tr>
      <w:tr>
        <w:tc>
          <w:tcPr>
            <w:tcW w:type="dxa" w:w="4968"/>
            <w:tcMar>
              <w:top w:w="100" w:type="dxa"/>
              <w:start w:w="120" w:type="dxa"/>
              <w:bottom w:w="100" w:type="dxa"/>
              <w:end w:w="120" w:type="dxa"/>
            </w:tcMar>
            <w:vAlign w:val="top"/>
          </w:tcPr>
          <w:p>
            <w:r>
              <w:t>2:10</w:t>
            </w:r>
          </w:p>
        </w:tc>
        <w:tc>
          <w:tcPr>
            <w:tcW w:type="dxa" w:w="4968"/>
            <w:tcMar>
              <w:top w:w="100" w:type="dxa"/>
              <w:start w:w="120" w:type="dxa"/>
              <w:bottom w:w="100" w:type="dxa"/>
              <w:end w:w="120" w:type="dxa"/>
            </w:tcMar>
            <w:vAlign w:val="top"/>
          </w:tcPr>
          <w:p>
            <w:r>
              <w:t>Opening script + verse layer (all ages together)</w:t>
            </w:r>
          </w:p>
        </w:tc>
      </w:tr>
      <w:tr>
        <w:tc>
          <w:tcPr>
            <w:tcW w:type="dxa" w:w="4968"/>
            <w:tcMar>
              <w:top w:w="100" w:type="dxa"/>
              <w:start w:w="120" w:type="dxa"/>
              <w:bottom w:w="100" w:type="dxa"/>
              <w:end w:w="120" w:type="dxa"/>
            </w:tcMar>
            <w:shd w:fill="FFF8E8"/>
            <w:vAlign w:val="top"/>
          </w:tcPr>
          <w:p>
            <w:r>
              <w:t>2:30</w:t>
            </w:r>
          </w:p>
        </w:tc>
        <w:tc>
          <w:tcPr>
            <w:tcW w:type="dxa" w:w="4968"/>
            <w:tcMar>
              <w:top w:w="100" w:type="dxa"/>
              <w:start w:w="120" w:type="dxa"/>
              <w:bottom w:w="100" w:type="dxa"/>
              <w:end w:w="120" w:type="dxa"/>
            </w:tcMar>
            <w:shd w:fill="FFF8E8"/>
            <w:vAlign w:val="top"/>
          </w:tcPr>
          <w:p>
            <w:r>
              <w:t>Age tracks (younger + older) with parents nearby / onsite</w:t>
            </w:r>
          </w:p>
        </w:tc>
      </w:tr>
      <w:tr>
        <w:tc>
          <w:tcPr>
            <w:tcW w:type="dxa" w:w="4968"/>
            <w:tcMar>
              <w:top w:w="100" w:type="dxa"/>
              <w:start w:w="120" w:type="dxa"/>
              <w:bottom w:w="100" w:type="dxa"/>
              <w:end w:w="120" w:type="dxa"/>
            </w:tcMar>
            <w:vAlign w:val="top"/>
          </w:tcPr>
          <w:p>
            <w:r>
              <w:t>3:10</w:t>
            </w:r>
          </w:p>
        </w:tc>
        <w:tc>
          <w:tcPr>
            <w:tcW w:type="dxa" w:w="4968"/>
            <w:tcMar>
              <w:top w:w="100" w:type="dxa"/>
              <w:start w:w="120" w:type="dxa"/>
              <w:bottom w:w="100" w:type="dxa"/>
              <w:end w:w="120" w:type="dxa"/>
            </w:tcMar>
            <w:vAlign w:val="top"/>
          </w:tcPr>
          <w:p>
            <w:r>
              <w:t>Reunification share (no ranking)</w:t>
            </w:r>
          </w:p>
        </w:tc>
      </w:tr>
      <w:tr>
        <w:tc>
          <w:tcPr>
            <w:tcW w:type="dxa" w:w="4968"/>
            <w:tcMar>
              <w:top w:w="100" w:type="dxa"/>
              <w:start w:w="120" w:type="dxa"/>
              <w:bottom w:w="100" w:type="dxa"/>
              <w:end w:w="120" w:type="dxa"/>
            </w:tcMar>
            <w:shd w:fill="FFF8E8"/>
            <w:vAlign w:val="top"/>
          </w:tcPr>
          <w:p>
            <w:r>
              <w:t>3:30</w:t>
            </w:r>
          </w:p>
        </w:tc>
        <w:tc>
          <w:tcPr>
            <w:tcW w:type="dxa" w:w="4968"/>
            <w:tcMar>
              <w:top w:w="100" w:type="dxa"/>
              <w:start w:w="120" w:type="dxa"/>
              <w:bottom w:w="100" w:type="dxa"/>
              <w:end w:w="120" w:type="dxa"/>
            </w:tcMar>
            <w:shd w:fill="FFF8E8"/>
            <w:vAlign w:val="top"/>
          </w:tcPr>
          <w:p>
            <w:r>
              <w:t>Snack and water</w:t>
            </w:r>
          </w:p>
        </w:tc>
      </w:tr>
      <w:tr>
        <w:tc>
          <w:tcPr>
            <w:tcW w:type="dxa" w:w="4968"/>
            <w:tcMar>
              <w:top w:w="100" w:type="dxa"/>
              <w:start w:w="120" w:type="dxa"/>
              <w:bottom w:w="100" w:type="dxa"/>
              <w:end w:w="120" w:type="dxa"/>
            </w:tcMar>
            <w:vAlign w:val="top"/>
          </w:tcPr>
          <w:p>
            <w:r>
              <w:t>3:40</w:t>
            </w:r>
          </w:p>
        </w:tc>
        <w:tc>
          <w:tcPr>
            <w:tcW w:type="dxa" w:w="4968"/>
            <w:tcMar>
              <w:top w:w="100" w:type="dxa"/>
              <w:start w:w="120" w:type="dxa"/>
              <w:bottom w:w="100" w:type="dxa"/>
              <w:end w:w="120" w:type="dxa"/>
            </w:tcMar>
            <w:vAlign w:val="top"/>
          </w:tcPr>
          <w:p>
            <w:r>
              <w:t>Saṅkalpa / home-practice card</w:t>
            </w:r>
          </w:p>
        </w:tc>
      </w:tr>
      <w:tr>
        <w:tc>
          <w:tcPr>
            <w:tcW w:type="dxa" w:w="4968"/>
            <w:tcMar>
              <w:top w:w="100" w:type="dxa"/>
              <w:start w:w="120" w:type="dxa"/>
              <w:bottom w:w="100" w:type="dxa"/>
              <w:end w:w="120" w:type="dxa"/>
            </w:tcMar>
            <w:shd w:fill="FFF8E8"/>
            <w:vAlign w:val="top"/>
          </w:tcPr>
          <w:p>
            <w:r>
              <w:t>3:55</w:t>
            </w:r>
          </w:p>
        </w:tc>
        <w:tc>
          <w:tcPr>
            <w:tcW w:type="dxa" w:w="4968"/>
            <w:tcMar>
              <w:top w:w="100" w:type="dxa"/>
              <w:start w:w="120" w:type="dxa"/>
              <w:bottom w:w="100" w:type="dxa"/>
              <w:end w:w="120" w:type="dxa"/>
            </w:tcMar>
            <w:shd w:fill="FFF8E8"/>
            <w:vAlign w:val="top"/>
          </w:tcPr>
          <w:p>
            <w:r>
              <w:t>Close and cleanup</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w:t>
            </w:r>
          </w:p>
        </w:tc>
      </w:tr>
    </w:tbl>
    <w:p>
      <w:pPr>
        <w:spacing w:after="40"/>
      </w:pPr>
    </w:p>
    <w:p>
      <w:r>
        <w:t>Parents stay onsite for the full Saturday 2:00–4:00 window. Do not claim temple, human, or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C3-W2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