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C3-W3 MAIN FACILITATOR GUIDE</w:t>
      </w:r>
    </w:p>
    <w:p>
      <w:pPr>
        <w:pStyle w:val="Subtitle"/>
        <w:jc w:val="center"/>
      </w:pPr>
      <w:r>
        <w:t>Families Growing in Krishna Consciousness</w:t>
      </w:r>
    </w:p>
    <w:p>
      <w:pPr>
        <w:spacing w:before="360"/>
        <w:jc w:val="center"/>
      </w:pPr>
      <w:r>
        <w:rPr>
          <w:rFonts w:ascii="Cambria" w:hAnsi="Cambria" w:eastAsia="Cambria" w:cs="Cambria"/>
          <w:b/>
          <w:color w:val="7A263A"/>
          <w:sz w:val="24"/>
        </w:rPr>
        <w:t>C3-W3</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w:t>
      </w:r>
    </w:p>
    <w:p>
      <w:pPr>
        <w:pStyle w:val="Heading2"/>
      </w:pPr>
      <w:r>
        <w:t>Two-minute summary</w:t>
      </w:r>
    </w:p>
    <w:p>
      <w:r>
        <w:t>Online answers collide: charisma, follower count, and decontextualized quotes. BG 4.34 gives a pathway: humility (praṇipāta), sincere inquiry (paripraśna), and service (sevā) toward those who have seen the truth. KUTUMBA teaches guru–sādhu–śāstra harmony, question craft, and safeguarding — without authorizing speculative gurus.</w:t>
      </w:r>
    </w:p>
    <w:p>
      <w:r>
        <w:rPr>
          <w:b/>
        </w:rPr>
        <w:t>Primary:</w:t>
      </w:r>
      <w:r>
        <w:t xml:space="preserve"> BG 4.34 — https://vedabase.io/en/library/bg/4/34/</w:t>
      </w:r>
    </w:p>
    <w:p>
      <w:pPr>
        <w:pStyle w:val="Heading2"/>
      </w:pPr>
      <w:r>
        <w:t>Essential question</w:t>
      </w:r>
    </w:p>
    <w:p>
      <w:r>
        <w:t>How do we safely receive spiritual knowledge?</w:t>
      </w:r>
    </w:p>
    <w:p>
      <w:pPr>
        <w:pStyle w:val="Heading2"/>
      </w:pPr>
      <w:r>
        <w:t>Learning outcomes (session)</w:t>
      </w:r>
    </w:p>
    <w:p>
      <w:pPr>
        <w:pStyle w:val="ListBullet"/>
      </w:pPr>
      <w:r>
        <w:t>Explain guru, sādhu, and śāstra and why they should harmonize.</w:t>
      </w:r>
    </w:p>
    <w:p>
      <w:pPr>
        <w:pStyle w:val="ListBullet"/>
      </w:pPr>
      <w:r>
        <w:t>Formulate one sincere, specific, text-grounded question.</w:t>
      </w:r>
    </w:p>
    <w:p>
      <w:pPr>
        <w:pStyle w:val="ListBullet"/>
      </w:pPr>
      <w:r>
        <w:t>Bring one question to scripture and a qualified devotee this week.</w:t>
      </w:r>
    </w:p>
    <w:p>
      <w:pPr>
        <w:pStyle w:val="ListBullet"/>
      </w:pPr>
      <w:r>
        <w:t>Children know trustworthy learning comes through sacred books and trustworthy devotees; secrecy is never required for safety.</w:t>
      </w:r>
    </w:p>
    <w:p>
      <w:pPr>
        <w:pStyle w:val="Heading2"/>
      </w:pPr>
      <w:r>
        <w:t>15-minute night-before prep</w:t>
      </w:r>
    </w:p>
    <w:p>
      <w:pPr>
        <w:pStyle w:val="ListNumber"/>
      </w:pPr>
      <w:r>
        <w:t>Open https://vedabase.io/en/library/bg/4/34/ and read Devanāgarī, IAST, and the KUTUMBA teaching meaning aloud once.</w:t>
      </w:r>
    </w:p>
    <w:p>
      <w:pPr>
        <w:pStyle w:val="ListNumber"/>
      </w:pPr>
      <w:r>
        <w:t>Rehearse the exact opening script below without improvising new doctrine.</w:t>
      </w:r>
    </w:p>
    <w:p>
      <w:pPr>
        <w:pStyle w:val="ListNumber"/>
      </w:pPr>
      <w:r>
        <w:t>Pack younger materials and older materials listed under Materials.</w:t>
      </w:r>
    </w:p>
    <w:p>
      <w:pPr>
        <w:pStyle w:val="ListNumber"/>
      </w:pPr>
      <w:r>
        <w:t>Mark the week's primary misconception to block: Charisma or popularity alone authorizes doctrine / ‘ask no questions’ spirituality..</w:t>
      </w:r>
    </w:p>
    <w:p>
      <w:pPr>
        <w:pStyle w:val="ListNumber"/>
      </w:pPr>
      <w:r>
        <w:t>Confirm snack and water table (no weekly meal) and parent-onsite seating.</w:t>
      </w:r>
    </w:p>
    <w:p>
      <w:pPr>
        <w:pStyle w:val="ListNumber"/>
      </w:pPr>
      <w:r>
        <w:t>Print or open the home-practice card wording for saṅkalpa.</w:t>
      </w:r>
    </w:p>
    <w:p>
      <w:pPr>
        <w:pStyle w:val="Heading2"/>
      </w:pPr>
      <w:r>
        <w:t>60-minute deep prep</w:t>
      </w:r>
    </w:p>
    <w:p>
      <w:pPr>
        <w:pStyle w:val="ListNumber"/>
      </w:pPr>
      <w:r>
        <w:t>Read the Core explanation section twice; highlight three sentences you will say slowly.</w:t>
      </w:r>
    </w:p>
    <w:p>
      <w:pPr>
        <w:pStyle w:val="ListNumber"/>
      </w:pPr>
      <w:r>
        <w:t>Choose one analogy and one case you will actually use; mark time cues in the margin.</w:t>
      </w:r>
    </w:p>
    <w:p>
      <w:pPr>
        <w:pStyle w:val="ListNumber"/>
      </w:pPr>
      <w:r>
        <w:t>Prepare three questions: one discovery, one understanding, one application.</w:t>
      </w:r>
    </w:p>
    <w:p>
      <w:pPr>
        <w:pStyle w:val="ListNumber"/>
      </w:pPr>
      <w:r>
        <w:t>Walk the room: welcome zone, verse wall, younger track, older track, reunification circle, snack table.</w:t>
      </w:r>
    </w:p>
    <w:p>
      <w:pPr>
        <w:pStyle w:val="ListNumber"/>
      </w:pPr>
      <w:r>
        <w:t>Confirm younger and older teachers have executable guides (not shells) and activity packs.</w:t>
      </w:r>
    </w:p>
    <w:p>
      <w:pPr>
        <w:pStyle w:val="ListNumber"/>
      </w:pPr>
      <w:r>
        <w:t>Review deferral language: if a question exceeds week scope, thank the asker, note it, and schedule follow-up with a qualified source rather than inventing an answer.</w:t>
      </w:r>
    </w:p>
    <w:p>
      <w:pPr>
        <w:pStyle w:val="ListNumber"/>
      </w:pPr>
      <w:r>
        <w:t>Review safeguarding: no private home struggles disclosed publicly; no ranking; child opt-out roles available.</w:t>
      </w:r>
    </w:p>
    <w:p>
      <w:pPr>
        <w:pStyle w:val="Heading2"/>
      </w:pPr>
      <w:r>
        <w:t>Exact primary readings</w:t>
      </w:r>
    </w:p>
    <w:p>
      <w:pPr>
        <w:pStyle w:val="ListBullet"/>
      </w:pPr>
      <w:r>
        <w:rPr>
          <w:b/>
        </w:rPr>
        <w:t>Reference:</w:t>
      </w:r>
      <w:r>
        <w:t xml:space="preserve"> BG 4.34</w:t>
      </w:r>
    </w:p>
    <w:p>
      <w:pPr>
        <w:pStyle w:val="ListBullet"/>
      </w:pPr>
      <w:r>
        <w:rPr>
          <w:b/>
        </w:rPr>
        <w:t>URL:</w:t>
      </w:r>
      <w:r>
        <w:t xml:space="preserve"> https://vedabase.io/en/library/bg/4/34/</w:t>
      </w:r>
    </w:p>
    <w:p>
      <w:pPr>
        <w:pStyle w:val="ListBullet"/>
      </w:pPr>
      <w:r>
        <w:rPr>
          <w:b/>
        </w:rPr>
        <w:t>Devanāgarī:</w:t>
      </w:r>
      <w:r>
        <w:t xml:space="preserve"> तद्विद्धि प्रणिपातेन परिप्रश्नेन सेवया । उपदेक्ष्यन्ति ते ज्ञानं ज्ञानिनस्तत्त्वदर्शिन: ॥ ३४ ॥</w:t>
      </w:r>
    </w:p>
    <w:p>
      <w:pPr>
        <w:pStyle w:val="ListBullet"/>
      </w:pPr>
      <w:r>
        <w:rPr>
          <w:b/>
        </w:rPr>
        <w:t>IAST:</w:t>
      </w:r>
      <w:r>
        <w:t xml:space="preserve"> tad viddhi praṇipātena paripraśnena sevayā / upadekṣyanti te jñānaṁ jñāninas tattva-darśinaḥ</w:t>
      </w:r>
    </w:p>
    <w:p>
      <w:pPr>
        <w:pStyle w:val="ListBullet"/>
      </w:pPr>
      <w:r>
        <w:rPr>
          <w:b/>
        </w:rPr>
        <w:t>KUTUMBA teaching meaning:</w:t>
      </w:r>
      <w:r>
        <w:t xml:space="preserve"> Approach those who have seen the truth — with humility, inquiry, and service — and they will instruct you in knowledge.</w:t>
      </w:r>
    </w:p>
    <w:p>
      <w:pPr>
        <w:pStyle w:val="ListBullet"/>
      </w:pPr>
      <w:r>
        <w:rPr>
          <w:b/>
        </w:rPr>
        <w:t>Rights:</w:t>
      </w:r>
      <w:r>
        <w:t xml:space="preserve"> Sanskrit from VedaBase display; KUTUMBA teaching meaning is original program pedagogy — not labeled as a BBT English translation; do not paste full purports into slides or handouts.</w:t>
      </w:r>
    </w:p>
    <w:p>
      <w:pPr>
        <w:pStyle w:val="Heading2"/>
      </w:pPr>
      <w:r>
        <w:t>Supporting sources (link-level; summarize, do not copy purports)</w:t>
      </w:r>
    </w:p>
    <w:p>
      <w:pPr>
        <w:pStyle w:val="ListBullet"/>
      </w:pPr>
      <w:r>
        <w:t>ŚB 11.3.21 — https://vedabase.io/en/library/sb/11/3/21/</w:t>
      </w:r>
    </w:p>
    <w:p>
      <w:pPr>
        <w:pStyle w:val="ListBullet"/>
      </w:pPr>
      <w:r>
        <w:t>CC Madhya 20.122 — https://vedabase.io/en/library/cc/madhya/20/122/</w:t>
      </w:r>
    </w:p>
    <w:p>
      <w:pPr>
        <w:pStyle w:val="ListBullet"/>
      </w:pPr>
      <w:r>
        <w:t>BG 2.7 — https://vedabase.io/en/library/bg/2/7/</w:t>
      </w:r>
    </w:p>
    <w:p>
      <w:pPr>
        <w:pStyle w:val="ListBullet"/>
      </w:pPr>
      <w:r>
        <w:t>KUTUMBA source-authority policy (program docs)</w:t>
      </w:r>
    </w:p>
    <w:p>
      <w:pPr>
        <w:pStyle w:val="Heading2"/>
      </w:pPr>
      <w:r>
        <w:t>One-page speaking map</w:t>
      </w:r>
    </w:p>
    <w:p>
      <w:pPr>
        <w:pStyle w:val="ListNumber"/>
      </w:pPr>
      <w:r>
        <w:t>Welcome and memory of prior week (2–3 min)</w:t>
      </w:r>
    </w:p>
    <w:p>
      <w:pPr>
        <w:pStyle w:val="ListNumber"/>
      </w:pPr>
      <w:r>
        <w:t>Essential question (1 min)</w:t>
      </w:r>
    </w:p>
    <w:p>
      <w:pPr>
        <w:pStyle w:val="ListNumber"/>
      </w:pPr>
      <w:r>
        <w:t>Verse layer — Devanāgarī / IAST / teaching meaning (6–8 min)</w:t>
      </w:r>
    </w:p>
    <w:p>
      <w:pPr>
        <w:pStyle w:val="ListNumber"/>
      </w:pPr>
      <w:r>
        <w:t>Core explanation with board triangle or map (8–10 min)</w:t>
      </w:r>
    </w:p>
    <w:p>
      <w:pPr>
        <w:pStyle w:val="ListNumber"/>
      </w:pPr>
      <w:r>
        <w:t>One analogy with spoken limit (3 min)</w:t>
      </w:r>
    </w:p>
    <w:p>
      <w:pPr>
        <w:pStyle w:val="ListNumber"/>
      </w:pPr>
      <w:r>
        <w:t>One case study (5 min)</w:t>
      </w:r>
    </w:p>
    <w:p>
      <w:pPr>
        <w:pStyle w:val="ListNumber"/>
      </w:pPr>
      <w:r>
        <w:t>Age-track handoff (tracks 40 min)</w:t>
      </w:r>
    </w:p>
    <w:p>
      <w:pPr>
        <w:pStyle w:val="ListNumber"/>
      </w:pPr>
      <w:r>
        <w:t>Reunification share (8–10 min)</w:t>
      </w:r>
    </w:p>
    <w:p>
      <w:pPr>
        <w:pStyle w:val="ListNumber"/>
      </w:pPr>
      <w:r>
        <w:t>Snack/water</w:t>
      </w:r>
    </w:p>
    <w:p>
      <w:pPr>
        <w:pStyle w:val="ListNumber"/>
      </w:pPr>
      <w:r>
        <w:t>Home practice saṅkalpa and close</w:t>
      </w:r>
    </w:p>
    <w:p>
      <w:pPr>
        <w:pStyle w:val="Heading2"/>
      </w:pPr>
      <w:r>
        <w:t>Exact opening script</w:t>
      </w:r>
    </w:p>
    <w:p>
      <w:pPr>
        <w:pStyle w:val="Quote"/>
      </w:pPr>
      <w:r>
        <w:t>Welcome to C3-W3: Guru, Sādhu and Śāstra — How We Receive Spiritual Knowledge. Essential question: How do we safely receive spiritual knowledge? From Bhagavad-gītā 4.34: Approach those who have seen the truth — with humility, inquiry, and service — and they will instruct you in knowledge. Faith is not gullibility. Respect never requires unsafe secrecy.</w:t>
      </w:r>
    </w:p>
    <w:p>
      <w:pPr>
        <w:pStyle w:val="Heading2"/>
      </w:pPr>
      <w:r>
        <w:t>Core explanation (teach this; do not outsource to research files)</w:t>
      </w:r>
    </w:p>
    <w:p>
      <w:pPr>
        <w:pStyle w:val="Heading3"/>
      </w:pPr>
      <w:r>
        <w:t>The problem this week solves</w:t>
      </w:r>
    </w:p>
    <w:p>
      <w:r>
        <w:t>A family hears three viral answers to one spiritual question. One speaker is charismatic, another has many followers, a third quotes a verse without context. BG 4.34 trains a pathway rather than a personality cult.</w:t>
      </w:r>
    </w:p>
    <w:p>
      <w:pPr>
        <w:pStyle w:val="Heading3"/>
      </w:pPr>
      <w:r>
        <w:t>Three approaches in the verse</w:t>
      </w:r>
    </w:p>
    <w:p>
      <w:pPr>
        <w:pStyle w:val="ListNumber"/>
      </w:pPr>
      <w:r>
        <w:rPr>
          <w:b/>
        </w:rPr>
        <w:t>Praṇipāta</w:t>
      </w:r>
      <w:r>
        <w:t xml:space="preserve"> — humility / bowing down: readiness to be taught, not to win.</w:t>
      </w:r>
    </w:p>
    <w:p>
      <w:pPr>
        <w:pStyle w:val="ListNumber"/>
      </w:pPr>
      <w:r>
        <w:rPr>
          <w:b/>
        </w:rPr>
        <w:t>Paripraśna</w:t>
      </w:r>
      <w:r>
        <w:t xml:space="preserve"> — sincere inquiry: specific questions seeking truth, not ego combat.</w:t>
      </w:r>
    </w:p>
    <w:p>
      <w:pPr>
        <w:pStyle w:val="ListNumber"/>
      </w:pPr>
      <w:r>
        <w:rPr>
          <w:b/>
        </w:rPr>
        <w:t>Sevā</w:t>
      </w:r>
      <w:r>
        <w:t xml:space="preserve"> — service: learning grows in a service relationship, not consumer shopping for opinions.</w:t>
      </w:r>
    </w:p>
    <w:p>
      <w:r>
        <w:t>Those who teach are described as knowers who have seen the truth (tattva-darśinaḥ). KUTUMBA facilitators are not automatic gurus; we point to śāstra and help families approach qualified guidance.</w:t>
      </w:r>
    </w:p>
    <w:p>
      <w:pPr>
        <w:pStyle w:val="Heading3"/>
      </w:pPr>
      <w:r>
        <w:t>Guru–sādhu–śāstra triangle</w:t>
      </w:r>
    </w:p>
    <w:p>
      <w:pPr>
        <w:pStyle w:val="ListBullet"/>
      </w:pPr>
      <w:r>
        <w:rPr>
          <w:b/>
        </w:rPr>
        <w:t>Śāstra</w:t>
      </w:r>
      <w:r>
        <w:t xml:space="preserve"> — revealed scripture as presented by the ācārya.</w:t>
      </w:r>
    </w:p>
    <w:p>
      <w:pPr>
        <w:pStyle w:val="ListBullet"/>
      </w:pPr>
      <w:r>
        <w:rPr>
          <w:b/>
        </w:rPr>
        <w:t>Guru</w:t>
      </w:r>
      <w:r>
        <w:t xml:space="preserve"> — bona fide spiritual master in disciplic line (explain roles carefully; do not pressure initiation).</w:t>
      </w:r>
    </w:p>
    <w:p>
      <w:pPr>
        <w:pStyle w:val="ListBullet"/>
      </w:pPr>
      <w:r>
        <w:rPr>
          <w:b/>
        </w:rPr>
        <w:t>Sādhu</w:t>
      </w:r>
      <w:r>
        <w:t xml:space="preserve"> — saintly devotees whose lives help confirm understanding.</w:t>
      </w:r>
    </w:p>
    <w:p>
      <w:r>
        <w:t>Harmony matters: a claim that contradicts śāstra is not rescued by charisma. A quote stripped of context is not automatically “śāstra.” Personal intuition is not the highest court for doctrine.</w:t>
      </w:r>
    </w:p>
    <w:p>
      <w:pPr>
        <w:pStyle w:val="Heading3"/>
      </w:pPr>
      <w:r>
        <w:t>Question clinic</w:t>
      </w:r>
    </w:p>
    <w:p>
      <w:r>
        <w:t>Convert:</w:t>
      </w:r>
    </w:p>
    <w:p>
      <w:pPr>
        <w:pStyle w:val="ListBullet"/>
      </w:pPr>
      <w:r>
        <w:t>Vague → specific (“What does BG 4.34 say about inquiry?”)</w:t>
      </w:r>
    </w:p>
    <w:p>
      <w:pPr>
        <w:pStyle w:val="ListBullet"/>
      </w:pPr>
      <w:r>
        <w:t>Combative → sincere (“Help me understand…”)</w:t>
      </w:r>
    </w:p>
    <w:p>
      <w:pPr>
        <w:pStyle w:val="ListBullet"/>
      </w:pPr>
      <w:r>
        <w:t>Dependent → responsible (“Where can I read this myself?”)</w:t>
      </w:r>
    </w:p>
    <w:p>
      <w:pPr>
        <w:pStyle w:val="Heading3"/>
      </w:pPr>
      <w:r>
        <w:t>Safeguarding (non-negotiable)</w:t>
      </w:r>
    </w:p>
    <w:p>
      <w:r>
        <w:t>Children practice: tell parents or designated adults if any adult asks for secrecy or makes them unsafe. Respect never means hiding unsafe behavior. Spiritual language must never be used to bypass child protection.</w:t>
      </w:r>
    </w:p>
    <w:p>
      <w:pPr>
        <w:pStyle w:val="Heading3"/>
      </w:pPr>
      <w:r>
        <w:t>Boundaries</w:t>
      </w:r>
    </w:p>
    <w:p>
      <w:r>
        <w:t>Do not authorize independent speculative gurus. Do not force initiation talk. Do not publicly expose private family doubts.</w:t>
      </w:r>
    </w:p>
    <w:p>
      <w:pPr>
        <w:pStyle w:val="Heading2"/>
      </w:pPr>
      <w:r>
        <w:t>Minute-by-minute facilitator script (plenary portion)</w:t>
      </w:r>
    </w:p>
    <w:p>
      <w:pPr>
        <w:pStyle w:val="Heading3"/>
      </w:pPr>
      <w:r>
        <w:t>2:00–2:10 — Welcome and settling</w:t>
      </w:r>
    </w:p>
    <w:p>
      <w:r>
        <w:t>Greet each family by name if known. Point out restrooms, water, and the snack table timing (snack at 3:30, not a weekly meal). Remind parents they remain onsite. Open with the program’s authorized mantras using the local chanting sheet. Keep volume warm, not theatrical. If a child is dysregulated, offer a quiet helper role immediately rather than competing with the room.</w:t>
      </w:r>
    </w:p>
    <w:p>
      <w:pPr>
        <w:pStyle w:val="Heading3"/>
      </w:pPr>
      <w:r>
        <w:t>2:10–2:18 — Opening script and essential question</w:t>
      </w:r>
    </w:p>
    <w:p>
      <w:r>
        <w:t>Deliver the exact opening script without adding new doctrinal claims. Pause after the essential question. Collect two or three short responses. Do not debate. Write one phrase on the board that you will return to later. State the primary reference and URL verbally so older learners hear that scripture is locatable.</w:t>
      </w:r>
    </w:p>
    <w:p>
      <w:pPr>
        <w:pStyle w:val="Heading3"/>
      </w:pPr>
      <w:r>
        <w:t>2:18–2:28 — Verse layer</w:t>
      </w:r>
    </w:p>
    <w:p>
      <w:r>
        <w:t>Display Devanāgarī. Read slowly. Display IAST. Read slowly. Read the full KUTUMBA teaching meaning without truncation. Ask one child to repeat a memory phrase and one older learner to name the reference. If the primary is a multi-verse or long verse text, do not stop mid-verse. For C3-W4, end aloud on paraṁ vijayate śrī-kṛṣṇa-saṅkīrtanam. For C3-W5, include iti puṁsārpitā … ’dhītam uttamam. For C3-W6, recite the exact chain BG 5.29 · BG 7.7 · BG 4.34 · CC Antya 20.12 · ŚB 7.5.23–24.</w:t>
      </w:r>
    </w:p>
    <w:p>
      <w:pPr>
        <w:pStyle w:val="Heading3"/>
      </w:pPr>
      <w:r>
        <w:t>2:28–2:40 — Core map, analogy, and one case</w:t>
      </w:r>
    </w:p>
    <w:p>
      <w:r>
        <w:t>Teach the board map from the core explanation. Use exactly one analogy and speak its limit in the same breath. Run one case study with compassionate response language. Protect privacy: no family is asked to confess failures publicly. Transition: “Now we practice in age bands; parents stay onsite; we reunite at 3:10.”</w:t>
      </w:r>
    </w:p>
    <w:p>
      <w:pPr>
        <w:pStyle w:val="Heading3"/>
      </w:pPr>
      <w:r>
        <w:t>2:40–3:10 — Tracks (facilitator float)</w:t>
      </w:r>
    </w:p>
    <w:p>
      <w:r>
        <w:t>Float between younger and older rooms/zones. Ensure teachers are using executable guides, not improvising doctrine. Watch for punishment-chanting, ranking, or unsafe secrecy language and interrupt gently. Keep snack prep silent in the background.</w:t>
      </w:r>
    </w:p>
    <w:p>
      <w:pPr>
        <w:pStyle w:val="Heading3"/>
      </w:pPr>
      <w:r>
        <w:t>3:10–3:30 — Reunification and snack</w:t>
      </w:r>
    </w:p>
    <w:p>
      <w:r>
        <w:t>Use the reunification script. Limit shares to one sentence or one picture. Begin snack/water. No lesson competition during snack. Capture home-practice commitments on cards.</w:t>
      </w:r>
    </w:p>
    <w:p>
      <w:pPr>
        <w:pStyle w:val="Heading3"/>
      </w:pPr>
      <w:r>
        <w:t>3:40–4:00 — Saṅkalpa and close</w:t>
      </w:r>
    </w:p>
    <w:p>
      <w:r>
        <w:t>Read the minimum home practice. Invite one adult and one child to restate it. Preview next week in one sentence. Thank volunteers. Reset the room. End at 4:00.</w:t>
      </w:r>
    </w:p>
    <w:p>
      <w:pPr>
        <w:pStyle w:val="Heading2"/>
      </w:pPr>
      <w:r>
        <w:t>Facilitator voice examples (say / don’t say)</w:t>
      </w:r>
    </w:p>
    <w:p>
      <w:pPr>
        <w:pStyle w:val="Heading3"/>
      </w:pPr>
      <w:r>
        <w:t>Say</w:t>
      </w:r>
    </w:p>
    <w:p>
      <w:pPr>
        <w:pStyle w:val="ListBullet"/>
      </w:pPr>
      <w:r>
        <w:t>“Śāstra first — let’s open the verse.”</w:t>
      </w:r>
    </w:p>
    <w:p>
      <w:pPr>
        <w:pStyle w:val="ListBullet"/>
      </w:pPr>
      <w:r>
        <w:t>“That is a sincere question; we will note it and follow up with a qualified source.”</w:t>
      </w:r>
    </w:p>
    <w:p>
      <w:pPr>
        <w:pStyle w:val="ListBullet"/>
      </w:pPr>
      <w:r>
        <w:t>“Helper roles are real service.”</w:t>
      </w:r>
    </w:p>
    <w:p>
      <w:pPr>
        <w:pStyle w:val="ListBullet"/>
      </w:pPr>
      <w:r>
        <w:t>“We do not rank families.”</w:t>
      </w:r>
    </w:p>
    <w:p>
      <w:pPr>
        <w:pStyle w:val="Heading3"/>
      </w:pPr>
      <w:r>
        <w:t>Don’t say</w:t>
      </w:r>
    </w:p>
    <w:p>
      <w:pPr>
        <w:pStyle w:val="ListBullet"/>
      </w:pPr>
      <w:r>
        <w:t>“Your family is behind.”</w:t>
      </w:r>
    </w:p>
    <w:p>
      <w:pPr>
        <w:pStyle w:val="ListBullet"/>
      </w:pPr>
      <w:r>
        <w:t>“Chant until you behave.”</w:t>
      </w:r>
    </w:p>
    <w:p>
      <w:pPr>
        <w:pStyle w:val="ListBullet"/>
      </w:pPr>
      <w:r>
        <w:t>“Science has now proven this verse.”</w:t>
      </w:r>
    </w:p>
    <w:p>
      <w:pPr>
        <w:pStyle w:val="ListBullet"/>
      </w:pPr>
      <w:r>
        <w:t>“This material is temple-approved / publication-ready.” (It is EXTERNAL_OPEN for human/temple review.)</w:t>
      </w:r>
    </w:p>
    <w:p>
      <w:pPr>
        <w:pStyle w:val="ListBullet"/>
      </w:pPr>
      <w:r>
        <w:t>“Mṛgāri story time.” (Out of scope for Cycle 3.)</w:t>
      </w:r>
    </w:p>
    <w:p>
      <w:pPr>
        <w:pStyle w:val="Heading2"/>
      </w:pPr>
      <w:r>
        <w:t>Differentiation and newcomers</w:t>
      </w:r>
    </w:p>
    <w:p>
      <w:r>
        <w:t>Newcomer adults: give the two-minute summary and the home-practice card; do not flood with Sanskrit pressure. Newcomer children: pair with a buddy; allow listening-only kīrtana roles. Multilingual homes: English teaching meaning is enough for comprehension; Sanskrit is honored by hearing, not by forced accuracy on night one. If a family arrives late, skim to the verse layer and hand them the card; do not publicly recap someone else’s private share.</w:t>
      </w:r>
    </w:p>
    <w:p>
      <w:pPr>
        <w:pStyle w:val="Heading2"/>
      </w:pPr>
      <w:r>
        <w:t>Room stewardship checklist (executable)</w:t>
      </w:r>
    </w:p>
    <w:p>
      <w:pPr>
        <w:pStyle w:val="ListNumber"/>
      </w:pPr>
      <w:r>
        <w:t>Verse wall visible from both tracks’ return path.</w:t>
      </w:r>
    </w:p>
    <w:p>
      <w:pPr>
        <w:pStyle w:val="ListNumber"/>
      </w:pPr>
      <w:r>
        <w:t>Younger materials bag packed before 1:50.</w:t>
      </w:r>
    </w:p>
    <w:p>
      <w:pPr>
        <w:pStyle w:val="ListNumber"/>
      </w:pPr>
      <w:r>
        <w:t>Older worksheets and answer key (private) separated.</w:t>
      </w:r>
    </w:p>
    <w:p>
      <w:pPr>
        <w:pStyle w:val="ListNumber"/>
      </w:pPr>
      <w:r>
        <w:t>Water labeled; allergen note if any shared snack.</w:t>
      </w:r>
    </w:p>
    <w:p>
      <w:pPr>
        <w:pStyle w:val="ListNumber"/>
      </w:pPr>
      <w:r>
        <w:t>Timer visible for track teachers.</w:t>
      </w:r>
    </w:p>
    <w:p>
      <w:pPr>
        <w:pStyle w:val="ListNumber"/>
      </w:pPr>
      <w:r>
        <w:t>Safeguarding adult identified on the run-sheet.</w:t>
      </w:r>
    </w:p>
    <w:p>
      <w:pPr>
        <w:pStyle w:val="ListNumber"/>
      </w:pPr>
      <w:r>
        <w:t>Cleanup bags at doors by 3:50.</w:t>
      </w:r>
    </w:p>
    <w:p>
      <w:pPr>
        <w:pStyle w:val="ListNumber"/>
      </w:pPr>
      <w:r>
        <w:t>Lost-and-found box for craft pieces.</w:t>
      </w:r>
    </w:p>
    <w:p>
      <w:pPr>
        <w:pStyle w:val="Heading2"/>
      </w:pPr>
      <w:r>
        <w:t>Analogies (inline — with limits)</w:t>
      </w:r>
    </w:p>
    <w:p>
      <w:pPr>
        <w:pStyle w:val="Heading3"/>
      </w:pPr>
      <w:r>
        <w:t>Analogy 1: Map, guide, and road signs</w:t>
      </w:r>
    </w:p>
    <w:p>
      <w:pPr>
        <w:pStyle w:val="ListBullet"/>
      </w:pPr>
      <w:r>
        <w:rPr>
          <w:b/>
        </w:rPr>
        <w:t>Say:</w:t>
      </w:r>
      <w:r>
        <w:t xml:space="preserve"> Travelers use a map (śāstra), a trained guide (guru), and confirm with trustworthy travelers (sādhu).</w:t>
      </w:r>
    </w:p>
    <w:p>
      <w:pPr>
        <w:pStyle w:val="ListBullet"/>
      </w:pPr>
      <w:r>
        <w:rPr>
          <w:b/>
        </w:rPr>
        <w:t>Limit:</w:t>
      </w:r>
      <w:r>
        <w:t xml:space="preserve"> Spiritual life is not tourism; analogy only trains verification.</w:t>
      </w:r>
    </w:p>
    <w:p>
      <w:pPr>
        <w:pStyle w:val="ListBullet"/>
      </w:pPr>
      <w:r>
        <w:rPr>
          <w:b/>
        </w:rPr>
        <w:t>Bridge back to verse:</w:t>
      </w:r>
      <w:r>
        <w:t xml:space="preserve"> Return to BG 4.34’s humility, inquiry, service.</w:t>
      </w:r>
    </w:p>
    <w:p>
      <w:pPr>
        <w:pStyle w:val="Heading3"/>
      </w:pPr>
      <w:r>
        <w:t>Analogy 2: Lab verification</w:t>
      </w:r>
    </w:p>
    <w:p>
      <w:pPr>
        <w:pStyle w:val="ListBullet"/>
      </w:pPr>
      <w:r>
        <w:rPr>
          <w:b/>
        </w:rPr>
        <w:t>Say:</w:t>
      </w:r>
      <w:r>
        <w:t xml:space="preserve"> A single loud claim is checked against a protocol and peers.</w:t>
      </w:r>
    </w:p>
    <w:p>
      <w:pPr>
        <w:pStyle w:val="ListBullet"/>
      </w:pPr>
      <w:r>
        <w:rPr>
          <w:b/>
        </w:rPr>
        <w:t>Limit:</w:t>
      </w:r>
      <w:r>
        <w:t xml:space="preserve"> Bhakti is not laboratory positivism; do not claim science proves tattva.</w:t>
      </w:r>
    </w:p>
    <w:p>
      <w:pPr>
        <w:pStyle w:val="ListBullet"/>
      </w:pPr>
      <w:r>
        <w:rPr>
          <w:b/>
        </w:rPr>
        <w:t>Bridge back to verse:</w:t>
      </w:r>
      <w:r>
        <w:t xml:space="preserve"> Verification here means guru–sādhu–śāstra harmony.</w:t>
      </w:r>
    </w:p>
    <w:p>
      <w:pPr>
        <w:pStyle w:val="Heading3"/>
      </w:pPr>
      <w:r>
        <w:t>Analogy 3: Ask where it comes from</w:t>
      </w:r>
    </w:p>
    <w:p>
      <w:pPr>
        <w:pStyle w:val="ListBullet"/>
      </w:pPr>
      <w:r>
        <w:rPr>
          <w:b/>
        </w:rPr>
        <w:t>Say:</w:t>
      </w:r>
      <w:r>
        <w:t xml:space="preserve"> Children ask for the page or the teacher who follows the book.</w:t>
      </w:r>
    </w:p>
    <w:p>
      <w:pPr>
        <w:pStyle w:val="ListBullet"/>
      </w:pPr>
      <w:r>
        <w:rPr>
          <w:b/>
        </w:rPr>
        <w:t>Limit:</w:t>
      </w:r>
      <w:r>
        <w:t xml:space="preserve"> Not every question is answered instantly; some are deferred.</w:t>
      </w:r>
    </w:p>
    <w:p>
      <w:pPr>
        <w:pStyle w:val="ListBullet"/>
      </w:pPr>
      <w:r>
        <w:rPr>
          <w:b/>
        </w:rPr>
        <w:t>Bridge back to verse:</w:t>
      </w:r>
      <w:r>
        <w:t xml:space="preserve"> Paripraśna is sincere, not demanding entitlement.</w:t>
      </w:r>
    </w:p>
    <w:p>
      <w:pPr>
        <w:pStyle w:val="Heading2"/>
      </w:pPr>
      <w:r>
        <w:t>Case studies (three constructed pedagogical cases)</w:t>
      </w:r>
    </w:p>
    <w:p>
      <w:pPr>
        <w:pStyle w:val="Heading3"/>
      </w:pPr>
      <w:r>
        <w:t>Case 1: Charismatic contradiction</w:t>
      </w:r>
    </w:p>
    <w:p>
      <w:pPr>
        <w:pStyle w:val="ListBullet"/>
      </w:pPr>
      <w:r>
        <w:rPr>
          <w:b/>
        </w:rPr>
        <w:t>Situation:</w:t>
      </w:r>
      <w:r>
        <w:t xml:space="preserve"> A popular online speaker contradicts a clear Gītā verse; a parent feels pressure to agree because ‘everyone likes him.’</w:t>
      </w:r>
    </w:p>
    <w:p>
      <w:pPr>
        <w:pStyle w:val="ListBullet"/>
      </w:pPr>
      <w:r>
        <w:rPr>
          <w:b/>
        </w:rPr>
        <w:t>Mistaken conclusion:</w:t>
      </w:r>
      <w:r>
        <w:t xml:space="preserve"> Popularity authorizes doctrine.</w:t>
      </w:r>
    </w:p>
    <w:p>
      <w:pPr>
        <w:pStyle w:val="ListBullet"/>
      </w:pPr>
      <w:r>
        <w:rPr>
          <w:b/>
        </w:rPr>
        <w:t>Principle from primary:</w:t>
      </w:r>
      <w:r>
        <w:t xml:space="preserve"> Śāstra is not overruled by followers.</w:t>
      </w:r>
    </w:p>
    <w:p>
      <w:pPr>
        <w:pStyle w:val="ListBullet"/>
      </w:pPr>
      <w:r>
        <w:rPr>
          <w:b/>
        </w:rPr>
        <w:t>Compassionate response (say):</w:t>
      </w:r>
      <w:r>
        <w:t xml:space="preserve"> Open the verse; compare calmly; defer to temple authorities if needed.</w:t>
      </w:r>
    </w:p>
    <w:p>
      <w:pPr>
        <w:pStyle w:val="ListBullet"/>
      </w:pPr>
      <w:r>
        <w:rPr>
          <w:b/>
        </w:rPr>
        <w:t>Family action (5–15 min):</w:t>
      </w:r>
      <w:r>
        <w:t xml:space="preserve"> Write the conflicting claim and the verse side by side.</w:t>
      </w:r>
    </w:p>
    <w:p>
      <w:pPr>
        <w:pStyle w:val="ListBullet"/>
      </w:pPr>
      <w:r>
        <w:rPr>
          <w:b/>
        </w:rPr>
        <w:t>What not to say:</w:t>
      </w:r>
      <w:r>
        <w:t xml:space="preserve"> Online pile-ons.</w:t>
      </w:r>
    </w:p>
    <w:p>
      <w:pPr>
        <w:pStyle w:val="Heading3"/>
      </w:pPr>
      <w:r>
        <w:t>Case 2: Initiation pressure</w:t>
      </w:r>
    </w:p>
    <w:p>
      <w:pPr>
        <w:pStyle w:val="ListBullet"/>
      </w:pPr>
      <w:r>
        <w:rPr>
          <w:b/>
        </w:rPr>
        <w:t>Situation:</w:t>
      </w:r>
      <w:r>
        <w:t xml:space="preserve"> A well-meaning relative presses a new family to ‘take initiation immediately’ to be ‘real.’</w:t>
      </w:r>
    </w:p>
    <w:p>
      <w:pPr>
        <w:pStyle w:val="ListBullet"/>
      </w:pPr>
      <w:r>
        <w:rPr>
          <w:b/>
        </w:rPr>
        <w:t>Mistaken conclusion:</w:t>
      </w:r>
      <w:r>
        <w:t xml:space="preserve"> KUTUMBA or peer pressure can authorize vows.</w:t>
      </w:r>
    </w:p>
    <w:p>
      <w:pPr>
        <w:pStyle w:val="ListBullet"/>
      </w:pPr>
      <w:r>
        <w:rPr>
          <w:b/>
        </w:rPr>
        <w:t>Principle from primary:</w:t>
      </w:r>
      <w:r>
        <w:t xml:space="preserve"> Serious commitments need qualified guidance and readiness; no coercion.</w:t>
      </w:r>
    </w:p>
    <w:p>
      <w:pPr>
        <w:pStyle w:val="ListBullet"/>
      </w:pPr>
      <w:r>
        <w:rPr>
          <w:b/>
        </w:rPr>
        <w:t>Compassionate response (say):</w:t>
      </w:r>
      <w:r>
        <w:t xml:space="preserve"> Affirm aspiration; slow down; point to local temple process.</w:t>
      </w:r>
    </w:p>
    <w:p>
      <w:pPr>
        <w:pStyle w:val="ListBullet"/>
      </w:pPr>
      <w:r>
        <w:rPr>
          <w:b/>
        </w:rPr>
        <w:t>Family action (5–15 min):</w:t>
      </w:r>
      <w:r>
        <w:t xml:space="preserve"> List questions to ask a qualified devotee; keep practicing hearing/chanting.</w:t>
      </w:r>
    </w:p>
    <w:p>
      <w:pPr>
        <w:pStyle w:val="ListBullet"/>
      </w:pPr>
      <w:r>
        <w:rPr>
          <w:b/>
        </w:rPr>
        <w:t>What not to say:</w:t>
      </w:r>
      <w:r>
        <w:t xml:space="preserve"> Mocking aspirants or gatekeeping insults.</w:t>
      </w:r>
    </w:p>
    <w:p>
      <w:pPr>
        <w:pStyle w:val="Heading3"/>
      </w:pPr>
      <w:r>
        <w:t>Case 3: Safeguarding concern</w:t>
      </w:r>
    </w:p>
    <w:p>
      <w:pPr>
        <w:pStyle w:val="ListBullet"/>
      </w:pPr>
      <w:r>
        <w:rPr>
          <w:b/>
        </w:rPr>
        <w:t>Situation:</w:t>
      </w:r>
      <w:r>
        <w:t xml:space="preserve"> A child reports an adult asked them to keep a ‘special spiritual secret’ from parents.</w:t>
      </w:r>
    </w:p>
    <w:p>
      <w:pPr>
        <w:pStyle w:val="ListBullet"/>
      </w:pPr>
      <w:r>
        <w:rPr>
          <w:b/>
        </w:rPr>
        <w:t>Mistaken conclusion:</w:t>
      </w:r>
      <w:r>
        <w:t xml:space="preserve"> Spiritual authority cancels parental protection.</w:t>
      </w:r>
    </w:p>
    <w:p>
      <w:pPr>
        <w:pStyle w:val="ListBullet"/>
      </w:pPr>
      <w:r>
        <w:rPr>
          <w:b/>
        </w:rPr>
        <w:t>Principle from primary:</w:t>
      </w:r>
      <w:r>
        <w:t xml:space="preserve"> Safety first; secrecy demands are a red flag.</w:t>
      </w:r>
    </w:p>
    <w:p>
      <w:pPr>
        <w:pStyle w:val="ListBullet"/>
      </w:pPr>
      <w:r>
        <w:rPr>
          <w:b/>
        </w:rPr>
        <w:t>Compassionate response (say):</w:t>
      </w:r>
      <w:r>
        <w:t xml:space="preserve"> Thank the child; involve designated safeguarding adults; do not investigate alone in front of the group.</w:t>
      </w:r>
    </w:p>
    <w:p>
      <w:pPr>
        <w:pStyle w:val="ListBullet"/>
      </w:pPr>
      <w:r>
        <w:rPr>
          <w:b/>
        </w:rPr>
        <w:t>Family action (5–15 min):</w:t>
      </w:r>
      <w:r>
        <w:t xml:space="preserve"> Follow temple/program safeguarding protocol immediately.</w:t>
      </w:r>
    </w:p>
    <w:p>
      <w:pPr>
        <w:pStyle w:val="ListBullet"/>
      </w:pPr>
      <w:r>
        <w:rPr>
          <w:b/>
        </w:rPr>
        <w:t>What not to say:</w:t>
      </w:r>
      <w:r>
        <w:t xml:space="preserve"> Public interrogation of the child.</w:t>
      </w:r>
    </w:p>
    <w:p>
      <w:pPr>
        <w:pStyle w:val="Heading2"/>
      </w:pPr>
      <w:r>
        <w:t>Facilitator questions</w:t>
      </w:r>
    </w:p>
    <w:p>
      <w:pPr>
        <w:pStyle w:val="Heading3"/>
      </w:pPr>
      <w:r>
        <w:t>Discovery</w:t>
      </w:r>
    </w:p>
    <w:p>
      <w:pPr>
        <w:pStyle w:val="ListBullet"/>
      </w:pPr>
      <w:r>
        <w:t>What three approaches does BG 4.34 name?</w:t>
      </w:r>
    </w:p>
    <w:p>
      <w:pPr>
        <w:pStyle w:val="ListBullet"/>
      </w:pPr>
      <w:r>
        <w:t>Who is said to give knowledge?</w:t>
      </w:r>
    </w:p>
    <w:p>
      <w:pPr>
        <w:pStyle w:val="ListBullet"/>
      </w:pPr>
      <w:r>
        <w:t>What is one difference between sincere inquiry and ego argument?</w:t>
      </w:r>
    </w:p>
    <w:p>
      <w:pPr>
        <w:pStyle w:val="Heading3"/>
      </w:pPr>
      <w:r>
        <w:t>Understanding</w:t>
      </w:r>
    </w:p>
    <w:p>
      <w:pPr>
        <w:pStyle w:val="ListBullet"/>
      </w:pPr>
      <w:r>
        <w:t>Why must guru, sādhu, and śāstra harmonize?</w:t>
      </w:r>
    </w:p>
    <w:p>
      <w:pPr>
        <w:pStyle w:val="ListBullet"/>
      </w:pPr>
      <w:r>
        <w:t>How can a quote be misused without context?</w:t>
      </w:r>
    </w:p>
    <w:p>
      <w:pPr>
        <w:pStyle w:val="ListBullet"/>
      </w:pPr>
      <w:r>
        <w:t>Why is safeguarding part of spiritual culture?</w:t>
      </w:r>
    </w:p>
    <w:p>
      <w:pPr>
        <w:pStyle w:val="Heading3"/>
      </w:pPr>
      <w:r>
        <w:t>Application</w:t>
      </w:r>
    </w:p>
    <w:p>
      <w:pPr>
        <w:pStyle w:val="ListBullet"/>
      </w:pPr>
      <w:r>
        <w:t>What question will you write tonight?</w:t>
      </w:r>
    </w:p>
    <w:p>
      <w:pPr>
        <w:pStyle w:val="ListBullet"/>
      </w:pPr>
      <w:r>
        <w:t>Which Śrīla Prabhupāda source will you open first?</w:t>
      </w:r>
    </w:p>
    <w:p>
      <w:pPr>
        <w:pStyle w:val="ListBullet"/>
      </w:pPr>
      <w:r>
        <w:t>Whom will you ask for help without outsourcing your responsibility to read?</w:t>
      </w:r>
    </w:p>
    <w:p>
      <w:pPr>
        <w:pStyle w:val="Heading2"/>
      </w:pPr>
      <w:r>
        <w:t>Adult FAQ (likely room questions)</w:t>
      </w:r>
    </w:p>
    <w:p>
      <w:r>
        <w:rPr>
          <w:b/>
        </w:rPr>
        <w:t>Q:</w:t>
      </w:r>
      <w:r>
        <w:t xml:space="preserve"> Is the facilitator my guru? </w:t>
      </w:r>
      <w:r>
        <w:rPr>
          <w:b/>
        </w:rPr>
        <w:t>A:</w:t>
      </w:r>
      <w:r>
        <w:t xml:space="preserve"> No by default. Facilitators teach curriculum and point to śāstra and temple guidance. Guru means a qualified spiritual master; do not blur roles.</w:t>
      </w:r>
    </w:p>
    <w:p>
      <w:r>
        <w:rPr>
          <w:b/>
        </w:rPr>
        <w:t>Q:</w:t>
      </w:r>
      <w:r>
        <w:t xml:space="preserve"> What if sources seem to conflict? </w:t>
      </w:r>
      <w:r>
        <w:rPr>
          <w:b/>
        </w:rPr>
        <w:t>A:</w:t>
      </w:r>
      <w:r>
        <w:t xml:space="preserve"> Do not invent reconciliation on the spot. Note the question; consult śāstra with a qualified devotee; keep practicing humility.</w:t>
      </w:r>
    </w:p>
    <w:p>
      <w:r>
        <w:rPr>
          <w:b/>
        </w:rPr>
        <w:t>Q:</w:t>
      </w:r>
      <w:r>
        <w:t xml:space="preserve"> Can children challenge adults? </w:t>
      </w:r>
      <w:r>
        <w:rPr>
          <w:b/>
        </w:rPr>
        <w:t>A:</w:t>
      </w:r>
      <w:r>
        <w:t xml:space="preserve"> Children may ask sincere questions and must report safety concerns. Tone training matters; protection matters more.</w:t>
      </w:r>
    </w:p>
    <w:p>
      <w:pPr>
        <w:pStyle w:val="Heading2"/>
      </w:pPr>
      <w:r>
        <w:t>Common misconceptions to correct gently</w:t>
      </w:r>
    </w:p>
    <w:p>
      <w:pPr>
        <w:pStyle w:val="ListBullet"/>
      </w:pPr>
      <w:r>
        <w:t>Charisma equals realization.</w:t>
      </w:r>
    </w:p>
    <w:p>
      <w:pPr>
        <w:pStyle w:val="ListBullet"/>
      </w:pPr>
      <w:r>
        <w:t>Questions are offenses.</w:t>
      </w:r>
    </w:p>
    <w:p>
      <w:pPr>
        <w:pStyle w:val="ListBullet"/>
      </w:pPr>
      <w:r>
        <w:t>Respect requires unsafe secrecy.</w:t>
      </w:r>
    </w:p>
    <w:p>
      <w:pPr>
        <w:pStyle w:val="ListBullet"/>
      </w:pPr>
      <w:r>
        <w:t>KUTUMBA can invent new dharma independent of śāstra.</w:t>
      </w:r>
    </w:p>
    <w:p>
      <w:pPr>
        <w:pStyle w:val="Heading2"/>
      </w:pPr>
      <w:r>
        <w:t>Doctrinal and delivery boundaries</w:t>
      </w:r>
    </w:p>
    <w:p>
      <w:pPr>
        <w:pStyle w:val="ListBullet"/>
      </w:pPr>
      <w:r>
        <w:t>No speculative guru authorization.</w:t>
      </w:r>
    </w:p>
    <w:p>
      <w:pPr>
        <w:pStyle w:val="ListBullet"/>
      </w:pPr>
      <w:r>
        <w:t>No initiation coercion.</w:t>
      </w:r>
    </w:p>
    <w:p>
      <w:pPr>
        <w:pStyle w:val="ListBullet"/>
      </w:pPr>
      <w:r>
        <w:t>No public exposure of private doubts.</w:t>
      </w:r>
    </w:p>
    <w:p>
      <w:pPr>
        <w:pStyle w:val="ListBullet"/>
      </w:pPr>
      <w:r>
        <w:t>Safeguarding overrides event flow.</w:t>
      </w:r>
    </w:p>
    <w:p>
      <w:pPr>
        <w:pStyle w:val="Heading2"/>
      </w:pPr>
      <w:r>
        <w:t>Track facilitation notes</w:t>
      </w:r>
    </w:p>
    <w:p>
      <w:pPr>
        <w:pStyle w:val="Heading3"/>
      </w:pPr>
      <w:r>
        <w:t>Younger track (K–2 / Lāla–Lālī)</w:t>
      </w:r>
    </w:p>
    <w:p>
      <w:pPr>
        <w:pStyle w:val="ListBullet"/>
      </w:pPr>
      <w:r>
        <w:t>Objective: Children practice asking ‘Where does this come from?’ with book, devotee, and guide pictures.</w:t>
      </w:r>
    </w:p>
    <w:p>
      <w:pPr>
        <w:pStyle w:val="ListBullet"/>
      </w:pPr>
      <w:r>
        <w:t>Memory phrase: Humility, sincere questions, and service — learn from those who know.</w:t>
      </w:r>
    </w:p>
    <w:p>
      <w:pPr>
        <w:pStyle w:val="ListBullet"/>
      </w:pPr>
      <w:r>
        <w:t>Keep movement short; prefer recognition over recitation pressure.</w:t>
      </w:r>
    </w:p>
    <w:p>
      <w:pPr>
        <w:pStyle w:val="ListBullet"/>
      </w:pPr>
      <w:r>
        <w:t>Handoff to reunification with one picture or gesture share.</w:t>
      </w:r>
    </w:p>
    <w:p>
      <w:pPr>
        <w:pStyle w:val="Heading3"/>
      </w:pPr>
      <w:r>
        <w:t>Older track (Kiśora–Kiśorī)</w:t>
      </w:r>
    </w:p>
    <w:p>
      <w:pPr>
        <w:pStyle w:val="ListBullet"/>
      </w:pPr>
      <w:r>
        <w:t>Objective: Students convert vague/combative questions into text-grounded inquiry and verify a claim.</w:t>
      </w:r>
    </w:p>
    <w:p>
      <w:pPr>
        <w:pStyle w:val="ListBullet"/>
      </w:pPr>
      <w:r>
        <w:t>Require source naming (BG 4.34) before opinions.</w:t>
      </w:r>
    </w:p>
    <w:p>
      <w:pPr>
        <w:pStyle w:val="ListBullet"/>
      </w:pPr>
      <w:r>
        <w:t>Use text observation + one case repair; no competitive scoring.</w:t>
      </w:r>
    </w:p>
    <w:p>
      <w:pPr>
        <w:pStyle w:val="Heading2"/>
      </w:pPr>
      <w:r>
        <w:t>Reunification script</w:t>
      </w:r>
    </w:p>
    <w:p>
      <w:pPr>
        <w:pStyle w:val="Quote"/>
      </w:pPr>
      <w:r>
        <w:t>Welcome back. We will hear a few short shares — a word, a picture, or one sentence — without ranking families. What did you notice about how we learn with humility and safety? Our home step is small and steady: Write one sincere spiritual question and locate one relevant Śrīla Prabhupāda source.. Next week we move to C3-W4 — Śrī Caitanya Mahāprabhu and the holy name without dropping this week's practice.</w:t>
      </w:r>
    </w:p>
    <w:p>
      <w:pPr>
        <w:pStyle w:val="Heading2"/>
      </w:pPr>
      <w:r>
        <w:t>Home practice and saṅkalpa</w:t>
      </w:r>
    </w:p>
    <w:p>
      <w:pPr>
        <w:pStyle w:val="ListBullet"/>
      </w:pPr>
      <w:r>
        <w:rPr>
          <w:b/>
        </w:rPr>
        <w:t>Minimum home practice:</w:t>
      </w:r>
      <w:r>
        <w:t xml:space="preserve"> Write one sincere spiritual question and locate one relevant Śrīla Prabhupāda source.</w:t>
      </w:r>
    </w:p>
    <w:p>
      <w:pPr>
        <w:pStyle w:val="ListBullet"/>
      </w:pPr>
      <w:r>
        <w:rPr>
          <w:b/>
        </w:rPr>
        <w:t>Bhakti laboratory cue:</w:t>
      </w:r>
      <w:r>
        <w:t xml:space="preserve"> Source verification and question practice</w:t>
      </w:r>
    </w:p>
    <w:p>
      <w:pPr>
        <w:pStyle w:val="ListBullet"/>
      </w:pPr>
      <w:r>
        <w:t>Write the card before closing; invite one adult and one child to restate it.</w:t>
      </w:r>
    </w:p>
    <w:p>
      <w:pPr>
        <w:pStyle w:val="Heading2"/>
      </w:pPr>
      <w:r>
        <w:t>Transition to next week</w:t>
      </w:r>
    </w:p>
    <w:p>
      <w:r>
        <w:t>Keep your written question alive. Next week receives Lord Caitanya’s gift of saṅkīrtana (CC Antya 20.12 full verse).</w:t>
      </w:r>
    </w:p>
    <w:p>
      <w:pPr>
        <w:pStyle w:val="Heading2"/>
      </w:pPr>
      <w:r>
        <w:t>Materials checklist</w:t>
      </w:r>
    </w:p>
    <w:p>
      <w:pPr>
        <w:pStyle w:val="ListBullet"/>
      </w:pPr>
      <w:r>
        <w:t>BG 4.34 card</w:t>
      </w:r>
    </w:p>
    <w:p>
      <w:pPr>
        <w:pStyle w:val="ListBullet"/>
      </w:pPr>
      <w:r>
        <w:t>Guru–sādhu–śāstra triangle poster</w:t>
      </w:r>
    </w:p>
    <w:p>
      <w:pPr>
        <w:pStyle w:val="ListBullet"/>
      </w:pPr>
      <w:r>
        <w:t>Source-sorting cards (book/teacher/rumor/internet)</w:t>
      </w:r>
    </w:p>
    <w:p>
      <w:pPr>
        <w:pStyle w:val="ListBullet"/>
      </w:pPr>
      <w:r>
        <w:t>Question clinic worksheets</w:t>
      </w:r>
    </w:p>
    <w:p>
      <w:pPr>
        <w:pStyle w:val="ListBullet"/>
      </w:pPr>
      <w:r>
        <w:t>Snack/water</w:t>
      </w:r>
    </w:p>
    <w:p>
      <w:pPr>
        <w:pStyle w:val="Heading2"/>
      </w:pPr>
      <w:r>
        <w:t>Do not claim</w:t>
      </w:r>
    </w:p>
    <w:p>
      <w:pPr>
        <w:pStyle w:val="ListBullet"/>
      </w:pPr>
      <w:r>
        <w:t>Human, temple, legal, or publication approval</w:t>
      </w:r>
    </w:p>
    <w:p>
      <w:pPr>
        <w:pStyle w:val="ListBullet"/>
      </w:pPr>
      <w:r>
        <w:t>That KUTUMBA teaching meanings are BBT translations</w:t>
      </w:r>
    </w:p>
    <w:p>
      <w:pPr>
        <w:pStyle w:val="ListBullet"/>
      </w:pPr>
      <w:r>
        <w:t>That science proves ātman, karma, or bhakti siddhānta</w:t>
      </w:r>
    </w:p>
    <w:p>
      <w:pPr>
        <w:pStyle w:val="ListBullet"/>
      </w:pPr>
      <w:r>
        <w:t>Ranking of families, children, or devotion</w:t>
      </w:r>
    </w:p>
    <w:p>
      <w:pPr>
        <w:pStyle w:val="ListBullet"/>
      </w:pPr>
      <w:r>
        <w:t>Advanced realization from one night of practice</w:t>
      </w:r>
    </w:p>
    <w:p>
      <w:pPr>
        <w:pStyle w:val="Heading2"/>
      </w:pPr>
      <w:r>
        <w:t>Saturday time cues (locked)</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Clock</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w:t>
            </w:r>
          </w:p>
        </w:tc>
        <w:tc>
          <w:tcPr>
            <w:tcW w:type="dxa" w:w="4968"/>
            <w:tcMar>
              <w:top w:w="100" w:type="dxa"/>
              <w:start w:w="120" w:type="dxa"/>
              <w:bottom w:w="100" w:type="dxa"/>
              <w:end w:w="120" w:type="dxa"/>
            </w:tcMar>
            <w:vAlign w:val="top"/>
          </w:tcPr>
          <w:p>
            <w:r>
              <w:t>Facilitator arrival; room zones; snack/water table ready (no weekly meal)</w:t>
            </w:r>
          </w:p>
        </w:tc>
      </w:tr>
      <w:tr>
        <w:tc>
          <w:tcPr>
            <w:tcW w:type="dxa" w:w="4968"/>
            <w:tcMar>
              <w:top w:w="100" w:type="dxa"/>
              <w:start w:w="120" w:type="dxa"/>
              <w:bottom w:w="100" w:type="dxa"/>
              <w:end w:w="120" w:type="dxa"/>
            </w:tcMar>
            <w:shd w:fill="FFF8E8"/>
            <w:vAlign w:val="top"/>
          </w:tcPr>
          <w:p>
            <w:r>
              <w:t>2:00</w:t>
            </w:r>
          </w:p>
        </w:tc>
        <w:tc>
          <w:tcPr>
            <w:tcW w:type="dxa" w:w="4968"/>
            <w:tcMar>
              <w:top w:w="100" w:type="dxa"/>
              <w:start w:w="120" w:type="dxa"/>
              <w:bottom w:w="100" w:type="dxa"/>
              <w:end w:w="120" w:type="dxa"/>
            </w:tcMar>
            <w:shd w:fill="FFF8E8"/>
            <w:vAlign w:val="top"/>
          </w:tcPr>
          <w:p>
            <w:r>
              <w:t>Opening mantras / welcome; parents remain onsite</w:t>
            </w:r>
          </w:p>
        </w:tc>
      </w:tr>
      <w:tr>
        <w:tc>
          <w:tcPr>
            <w:tcW w:type="dxa" w:w="4968"/>
            <w:tcMar>
              <w:top w:w="100" w:type="dxa"/>
              <w:start w:w="120" w:type="dxa"/>
              <w:bottom w:w="100" w:type="dxa"/>
              <w:end w:w="120" w:type="dxa"/>
            </w:tcMar>
            <w:vAlign w:val="top"/>
          </w:tcPr>
          <w:p>
            <w:r>
              <w:t>2:10</w:t>
            </w:r>
          </w:p>
        </w:tc>
        <w:tc>
          <w:tcPr>
            <w:tcW w:type="dxa" w:w="4968"/>
            <w:tcMar>
              <w:top w:w="100" w:type="dxa"/>
              <w:start w:w="120" w:type="dxa"/>
              <w:bottom w:w="100" w:type="dxa"/>
              <w:end w:w="120" w:type="dxa"/>
            </w:tcMar>
            <w:vAlign w:val="top"/>
          </w:tcPr>
          <w:p>
            <w:r>
              <w:t>Opening script + verse layer (all ages together)</w:t>
            </w:r>
          </w:p>
        </w:tc>
      </w:tr>
      <w:tr>
        <w:tc>
          <w:tcPr>
            <w:tcW w:type="dxa" w:w="4968"/>
            <w:tcMar>
              <w:top w:w="100" w:type="dxa"/>
              <w:start w:w="120" w:type="dxa"/>
              <w:bottom w:w="100" w:type="dxa"/>
              <w:end w:w="120" w:type="dxa"/>
            </w:tcMar>
            <w:shd w:fill="FFF8E8"/>
            <w:vAlign w:val="top"/>
          </w:tcPr>
          <w:p>
            <w:r>
              <w:t>2:30</w:t>
            </w:r>
          </w:p>
        </w:tc>
        <w:tc>
          <w:tcPr>
            <w:tcW w:type="dxa" w:w="4968"/>
            <w:tcMar>
              <w:top w:w="100" w:type="dxa"/>
              <w:start w:w="120" w:type="dxa"/>
              <w:bottom w:w="100" w:type="dxa"/>
              <w:end w:w="120" w:type="dxa"/>
            </w:tcMar>
            <w:shd w:fill="FFF8E8"/>
            <w:vAlign w:val="top"/>
          </w:tcPr>
          <w:p>
            <w:r>
              <w:t>Age tracks (younger + older) with parents nearby / onsite</w:t>
            </w:r>
          </w:p>
        </w:tc>
      </w:tr>
      <w:tr>
        <w:tc>
          <w:tcPr>
            <w:tcW w:type="dxa" w:w="4968"/>
            <w:tcMar>
              <w:top w:w="100" w:type="dxa"/>
              <w:start w:w="120" w:type="dxa"/>
              <w:bottom w:w="100" w:type="dxa"/>
              <w:end w:w="120" w:type="dxa"/>
            </w:tcMar>
            <w:vAlign w:val="top"/>
          </w:tcPr>
          <w:p>
            <w:r>
              <w:t>3:10</w:t>
            </w:r>
          </w:p>
        </w:tc>
        <w:tc>
          <w:tcPr>
            <w:tcW w:type="dxa" w:w="4968"/>
            <w:tcMar>
              <w:top w:w="100" w:type="dxa"/>
              <w:start w:w="120" w:type="dxa"/>
              <w:bottom w:w="100" w:type="dxa"/>
              <w:end w:w="120" w:type="dxa"/>
            </w:tcMar>
            <w:vAlign w:val="top"/>
          </w:tcPr>
          <w:p>
            <w:r>
              <w:t>Reunification share (no ranking)</w:t>
            </w:r>
          </w:p>
        </w:tc>
      </w:tr>
      <w:tr>
        <w:tc>
          <w:tcPr>
            <w:tcW w:type="dxa" w:w="4968"/>
            <w:tcMar>
              <w:top w:w="100" w:type="dxa"/>
              <w:start w:w="120" w:type="dxa"/>
              <w:bottom w:w="100" w:type="dxa"/>
              <w:end w:w="120" w:type="dxa"/>
            </w:tcMar>
            <w:shd w:fill="FFF8E8"/>
            <w:vAlign w:val="top"/>
          </w:tcPr>
          <w:p>
            <w:r>
              <w:t>3:30</w:t>
            </w:r>
          </w:p>
        </w:tc>
        <w:tc>
          <w:tcPr>
            <w:tcW w:type="dxa" w:w="4968"/>
            <w:tcMar>
              <w:top w:w="100" w:type="dxa"/>
              <w:start w:w="120" w:type="dxa"/>
              <w:bottom w:w="100" w:type="dxa"/>
              <w:end w:w="120" w:type="dxa"/>
            </w:tcMar>
            <w:shd w:fill="FFF8E8"/>
            <w:vAlign w:val="top"/>
          </w:tcPr>
          <w:p>
            <w:r>
              <w:t>Snack and water</w:t>
            </w:r>
          </w:p>
        </w:tc>
      </w:tr>
      <w:tr>
        <w:tc>
          <w:tcPr>
            <w:tcW w:type="dxa" w:w="4968"/>
            <w:tcMar>
              <w:top w:w="100" w:type="dxa"/>
              <w:start w:w="120" w:type="dxa"/>
              <w:bottom w:w="100" w:type="dxa"/>
              <w:end w:w="120" w:type="dxa"/>
            </w:tcMar>
            <w:vAlign w:val="top"/>
          </w:tcPr>
          <w:p>
            <w:r>
              <w:t>3:40</w:t>
            </w:r>
          </w:p>
        </w:tc>
        <w:tc>
          <w:tcPr>
            <w:tcW w:type="dxa" w:w="4968"/>
            <w:tcMar>
              <w:top w:w="100" w:type="dxa"/>
              <w:start w:w="120" w:type="dxa"/>
              <w:bottom w:w="100" w:type="dxa"/>
              <w:end w:w="120" w:type="dxa"/>
            </w:tcMar>
            <w:vAlign w:val="top"/>
          </w:tcPr>
          <w:p>
            <w:r>
              <w:t>Saṅkalpa / home-practice card</w:t>
            </w:r>
          </w:p>
        </w:tc>
      </w:tr>
      <w:tr>
        <w:tc>
          <w:tcPr>
            <w:tcW w:type="dxa" w:w="4968"/>
            <w:tcMar>
              <w:top w:w="100" w:type="dxa"/>
              <w:start w:w="120" w:type="dxa"/>
              <w:bottom w:w="100" w:type="dxa"/>
              <w:end w:w="120" w:type="dxa"/>
            </w:tcMar>
            <w:shd w:fill="FFF8E8"/>
            <w:vAlign w:val="top"/>
          </w:tcPr>
          <w:p>
            <w:r>
              <w:t>3:55</w:t>
            </w:r>
          </w:p>
        </w:tc>
        <w:tc>
          <w:tcPr>
            <w:tcW w:type="dxa" w:w="4968"/>
            <w:tcMar>
              <w:top w:w="100" w:type="dxa"/>
              <w:start w:w="120" w:type="dxa"/>
              <w:bottom w:w="100" w:type="dxa"/>
              <w:end w:w="120" w:type="dxa"/>
            </w:tcMar>
            <w:shd w:fill="FFF8E8"/>
            <w:vAlign w:val="top"/>
          </w:tcPr>
          <w:p>
            <w:r>
              <w:t>Close and cleanup</w:t>
            </w:r>
          </w:p>
        </w:tc>
      </w:tr>
      <w:tr>
        <w:tc>
          <w:tcPr>
            <w:tcW w:type="dxa" w:w="4968"/>
            <w:tcMar>
              <w:top w:w="100" w:type="dxa"/>
              <w:start w:w="120" w:type="dxa"/>
              <w:bottom w:w="100" w:type="dxa"/>
              <w:end w:w="120" w:type="dxa"/>
            </w:tcMar>
            <w:vAlign w:val="top"/>
          </w:tcPr>
          <w:p>
            <w:r>
              <w:t>4:00</w:t>
            </w:r>
          </w:p>
        </w:tc>
        <w:tc>
          <w:tcPr>
            <w:tcW w:type="dxa" w:w="4968"/>
            <w:tcMar>
              <w:top w:w="100" w:type="dxa"/>
              <w:start w:w="120" w:type="dxa"/>
              <w:bottom w:w="100" w:type="dxa"/>
              <w:end w:w="120" w:type="dxa"/>
            </w:tcMar>
            <w:vAlign w:val="top"/>
          </w:tcPr>
          <w:p>
            <w:r>
              <w:t>End</w:t>
            </w:r>
          </w:p>
        </w:tc>
      </w:tr>
    </w:tbl>
    <w:p>
      <w:pPr>
        <w:spacing w:after="40"/>
      </w:pPr>
    </w:p>
    <w:p>
      <w:r>
        <w:t>Parents stay onsite for the full Saturday 2:00–4:00 window. Do not claim temple, human, or publication approval.</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pPr>
        <w:pStyle w:val="Heading1"/>
      </w:pPr>
      <w:r>
        <w:t>Instructional visuals</w:t>
      </w:r>
    </w:p>
    <w:p>
      <w:r>
        <w:drawing>
          <wp:inline xmlns:a="http://schemas.openxmlformats.org/drawingml/2006/main" xmlns:pic="http://schemas.openxmlformats.org/drawingml/2006/picture">
            <wp:extent cx="5303520" cy="6863379"/>
            <wp:docPr id="1" name="Picture 1"/>
            <wp:cNvGraphicFramePr>
              <a:graphicFrameLocks noChangeAspect="1"/>
            </wp:cNvGraphicFramePr>
            <a:graphic>
              <a:graphicData uri="http://schemas.openxmlformats.org/drawingml/2006/picture">
                <pic:pic>
                  <pic:nvPicPr>
                    <pic:cNvPr id="0" name="verse-card.png"/>
                    <pic:cNvPicPr/>
                  </pic:nvPicPr>
                  <pic:blipFill>
                    <a:blip r:embed="rId11"/>
                    <a:stretch>
                      <a:fillRect/>
                    </a:stretch>
                  </pic:blipFill>
                  <pic:spPr>
                    <a:xfrm>
                      <a:off x="0" y="0"/>
                      <a:ext cx="5303520" cy="6863379"/>
                    </a:xfrm>
                    <a:prstGeom prst="rect"/>
                  </pic:spPr>
                </pic:pic>
              </a:graphicData>
            </a:graphic>
          </wp:inline>
        </w:drawing>
      </w:r>
    </w:p>
    <w:p>
      <w:r>
        <w:rPr>
          <w:sz w:val="18"/>
        </w:rPr>
        <w:t>Original KUTUMBA visual: verse-card.png</w:t>
      </w:r>
    </w:p>
    <w:p>
      <w:r>
        <w:drawing>
          <wp:inline xmlns:a="http://schemas.openxmlformats.org/drawingml/2006/main" xmlns:pic="http://schemas.openxmlformats.org/drawingml/2006/picture">
            <wp:extent cx="5303520" cy="2784348"/>
            <wp:docPr id="2" name="Picture 2"/>
            <wp:cNvGraphicFramePr>
              <a:graphicFrameLocks noChangeAspect="1"/>
            </wp:cNvGraphicFramePr>
            <a:graphic>
              <a:graphicData uri="http://schemas.openxmlformats.org/drawingml/2006/picture">
                <pic:pic>
                  <pic:nvPicPr>
                    <pic:cNvPr id="0" name="concept-diagram.png"/>
                    <pic:cNvPicPr/>
                  </pic:nvPicPr>
                  <pic:blipFill>
                    <a:blip r:embed="rId12"/>
                    <a:stretch>
                      <a:fillRect/>
                    </a:stretch>
                  </pic:blipFill>
                  <pic:spPr>
                    <a:xfrm>
                      <a:off x="0" y="0"/>
                      <a:ext cx="5303520" cy="2784348"/>
                    </a:xfrm>
                    <a:prstGeom prst="rect"/>
                  </pic:spPr>
                </pic:pic>
              </a:graphicData>
            </a:graphic>
          </wp:inline>
        </w:drawing>
      </w:r>
    </w:p>
    <w:p>
      <w:r>
        <w:rPr>
          <w:sz w:val="18"/>
        </w:rPr>
        <w:t>Original KUTUMBA visual: concept-diagram.png</w:t>
      </w:r>
    </w:p>
    <w:p>
      <w:r>
        <w:drawing>
          <wp:inline xmlns:a="http://schemas.openxmlformats.org/drawingml/2006/main" xmlns:pic="http://schemas.openxmlformats.org/drawingml/2006/picture">
            <wp:extent cx="5303520" cy="6863379"/>
            <wp:docPr id="3" name="Picture 3"/>
            <wp:cNvGraphicFramePr>
              <a:graphicFrameLocks noChangeAspect="1"/>
            </wp:cNvGraphicFramePr>
            <a:graphic>
              <a:graphicData uri="http://schemas.openxmlformats.org/drawingml/2006/picture">
                <pic:pic>
                  <pic:nvPicPr>
                    <pic:cNvPr id="0" name="line-art-younger.png"/>
                    <pic:cNvPicPr/>
                  </pic:nvPicPr>
                  <pic:blipFill>
                    <a:blip r:embed="rId13"/>
                    <a:stretch>
                      <a:fillRect/>
                    </a:stretch>
                  </pic:blipFill>
                  <pic:spPr>
                    <a:xfrm>
                      <a:off x="0" y="0"/>
                      <a:ext cx="5303520" cy="6863379"/>
                    </a:xfrm>
                    <a:prstGeom prst="rect"/>
                  </pic:spPr>
                </pic:pic>
              </a:graphicData>
            </a:graphic>
          </wp:inline>
        </w:drawing>
      </w:r>
    </w:p>
    <w:p>
      <w:r>
        <w:rPr>
          <w:sz w:val="18"/>
        </w:rPr>
        <w:t>Original KUTUMBA visual: line-art-younger.png</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Original KUTUMBA program material. Scripture/BBT/ISKCON/third-party rights remain with their holders.</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C3-W3  |  main-facilitator-guide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b/>
      <w:color w:val="E59B24"/>
      <w:sz w:val="18"/>
    </w:rPr>
  </w:style>
  <w:style w:type="paragraph" w:customStyle="1" w:styleId="KUTUMBAMeta">
    <w:name w:val="KUTUMBA Meta"/>
    <w:pPr>
      <w:spacing w:after="80"/>
    </w:pPr>
    <w:rPr>
      <w:rFonts w:ascii="Segoe UI" w:hAnsi="Segoe UI" w:eastAsia="Segoe UI"/>
      <w:b w:val="0"/>
      <w:color w:val="4F7C78"/>
      <w:sz w:val="18"/>
    </w:rPr>
  </w:style>
  <w:style w:type="paragraph" w:customStyle="1" w:styleId="KUTUMBACalloutLabel">
    <w:name w:val="KUTUMBA Callout Label"/>
    <w:pPr>
      <w:spacing w:after="80"/>
    </w:pPr>
    <w:rPr>
      <w:rFonts w:ascii="Segoe UI" w:hAnsi="Segoe UI" w:eastAsia="Segoe UI"/>
      <w:b/>
      <w:color w:val="FFFFFF"/>
      <w:sz w:val="17"/>
    </w:rPr>
  </w:style>
  <w:style w:type="paragraph" w:customStyle="1" w:styleId="KUTUMBACalloutBody">
    <w:name w:val="KUTUMBA Callout Body"/>
    <w:pPr>
      <w:spacing w:after="80"/>
    </w:pPr>
    <w:rPr>
      <w:rFonts w:ascii="Calibri" w:hAnsi="Calibri" w:eastAsia="Calibri"/>
      <w:b w:val="0"/>
      <w:color w:val="2E3033"/>
      <w:sz w:val="20"/>
    </w:rPr>
  </w:style>
  <w:style w:type="paragraph" w:customStyle="1" w:styleId="KUTUMBAVerseDevanagari">
    <w:name w:val="KUTUMBA Verse Devanagari"/>
    <w:pPr>
      <w:keepLines/>
      <w:spacing w:after="80"/>
    </w:pPr>
    <w:rPr>
      <w:rFonts w:ascii="Nirmala UI" w:hAnsi="Nirmala UI" w:eastAsia="Nirmala UI"/>
      <w:b w:val="0"/>
      <w:color w:val="5B1933"/>
      <w:sz w:val="30"/>
    </w:rPr>
  </w:style>
  <w:style w:type="paragraph" w:customStyle="1" w:styleId="KUTUMBAVerseIAST">
    <w:name w:val="KUTUMBA Verse IAST"/>
    <w:pPr>
      <w:keepLines/>
      <w:spacing w:after="80"/>
    </w:pPr>
    <w:rPr>
      <w:rFonts w:ascii="Calibri" w:hAnsi="Calibri" w:eastAsia="Calibri"/>
      <w:b w:val="0"/>
      <w:color w:val="4F7C78"/>
      <w:sz w:val="21"/>
    </w:rPr>
  </w:style>
  <w:style w:type="paragraph" w:customStyle="1" w:styleId="KUTUMBARights">
    <w:name w:val="KUTUMBA Rights"/>
    <w:pPr>
      <w:spacing w:after="80"/>
    </w:pPr>
    <w:rPr>
      <w:rFonts w:ascii="Segoe UI" w:hAnsi="Segoe UI" w:eastAsia="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