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C3-W4</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Objective</w:t>
      </w:r>
    </w:p>
    <w:p>
      <w:r>
        <w:t>Children experience mirror-cleaning and call-and-response joy without performance pressure.</w:t>
      </w:r>
    </w:p>
    <w:p>
      <w:pPr>
        <w:pStyle w:val="Heading2"/>
      </w:pPr>
      <w:r>
        <w:t>Exact memory phrase</w:t>
      </w:r>
    </w:p>
    <w:p>
      <w:pPr>
        <w:pStyle w:val="Quote"/>
      </w:pPr>
      <w:r>
        <w:t>Paraṁ vijayate śrī-kṛṣṇa-saṅkīrtanam — all victory to the congregational chanting of Kṛṣṇa’s names.</w:t>
      </w:r>
    </w:p>
    <w:p>
      <w:pPr>
        <w:pStyle w:val="Heading2"/>
      </w:pPr>
      <w:r>
        <w:t>Teacher background (enough to teach without improvising)</w:t>
      </w:r>
    </w:p>
    <w:p>
      <w:r>
        <w:t>Primary: CC Antya 20.12 (Śikṣāṣṭaka 1) (https://vedabase.io/en/library/cc/antya/20/12/).</w:t>
      </w:r>
    </w:p>
    <w:p>
      <w:r>
        <w:t>Teaching meaning to keep in mind: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r>
        <w:t>Block tonight: Force chanting as punishment / treat kīrtana as talent show..</w:t>
      </w:r>
    </w:p>
    <w:p>
      <w:r>
        <w:t>Parents remain onsite. Session is Saturday 2:00–4:00 with snack/water only (no weekly meal).</w:t>
      </w:r>
    </w:p>
    <w:p>
      <w:pPr>
        <w:pStyle w:val="Heading2"/>
      </w:pPr>
      <w:r>
        <w:t>Timed run-of-show (about 40 minutes inside the track window)</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Move</w:t>
            </w:r>
          </w:p>
        </w:tc>
        <w:tc>
          <w:tcPr>
            <w:tcW w:type="dxa" w:w="3312"/>
            <w:shd w:fill="5B1933"/>
            <w:tcMar>
              <w:top w:w="100" w:type="dxa"/>
              <w:start w:w="120" w:type="dxa"/>
              <w:bottom w:w="100" w:type="dxa"/>
              <w:end w:w="120" w:type="dxa"/>
            </w:tcMar>
          </w:tcPr>
          <w:p>
            <w:r>
              <w:rPr>
                <w:b/>
                <w:color w:val="FFFFFF"/>
              </w:rPr>
              <w:t>Exact teacher language / action</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Arrival + wonder</w:t>
            </w:r>
          </w:p>
        </w:tc>
        <w:tc>
          <w:tcPr>
            <w:tcW w:type="dxa" w:w="3312"/>
            <w:tcMar>
              <w:top w:w="100" w:type="dxa"/>
              <w:start w:w="120" w:type="dxa"/>
              <w:bottom w:w="100" w:type="dxa"/>
              <w:end w:w="120" w:type="dxa"/>
            </w:tcMar>
            <w:vAlign w:val="top"/>
          </w:tcPr>
          <w:p>
            <w:r>
              <w:t>“Today we learn: Paraṁ vijayate śrī-kṛṣṇa-saṅkīrtanam — all victory to the congregational chanting of Kṛṣṇa’s names.. Can your hands show listening?”</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Story / picture</w:t>
            </w:r>
          </w:p>
        </w:tc>
        <w:tc>
          <w:tcPr>
            <w:tcW w:type="dxa" w:w="3312"/>
            <w:tcMar>
              <w:top w:w="100" w:type="dxa"/>
              <w:start w:w="120" w:type="dxa"/>
              <w:bottom w:w="100" w:type="dxa"/>
              <w:end w:w="120" w:type="dxa"/>
            </w:tcMar>
            <w:shd w:fill="FFF8E8"/>
            <w:vAlign w:val="top"/>
          </w:tcPr>
          <w:p>
            <w:r>
              <w:t>Use only authorized paraphrase from SCRIPTURAL-EXAMPLES and the week story boundary. No invented dialogue for the Lord.</w:t>
            </w:r>
          </w:p>
        </w:tc>
      </w:tr>
      <w:tr>
        <w:tc>
          <w:tcPr>
            <w:tcW w:type="dxa" w:w="3312"/>
            <w:tcMar>
              <w:top w:w="100" w:type="dxa"/>
              <w:start w:w="120" w:type="dxa"/>
              <w:bottom w:w="100" w:type="dxa"/>
              <w:end w:w="120" w:type="dxa"/>
            </w:tcMar>
            <w:vAlign w:val="top"/>
          </w:tcPr>
          <w:p>
            <w:r>
              <w:t>15–28</w:t>
            </w:r>
          </w:p>
        </w:tc>
        <w:tc>
          <w:tcPr>
            <w:tcW w:type="dxa" w:w="3312"/>
            <w:tcMar>
              <w:top w:w="100" w:type="dxa"/>
              <w:start w:w="120" w:type="dxa"/>
              <w:bottom w:w="100" w:type="dxa"/>
              <w:end w:w="120" w:type="dxa"/>
            </w:tcMar>
            <w:vAlign w:val="top"/>
          </w:tcPr>
          <w:p>
            <w:r>
              <w:t>Movement / hands-on</w:t>
            </w:r>
          </w:p>
        </w:tc>
        <w:tc>
          <w:tcPr>
            <w:tcW w:type="dxa" w:w="3312"/>
            <w:tcMar>
              <w:top w:w="100" w:type="dxa"/>
              <w:start w:w="120" w:type="dxa"/>
              <w:bottom w:w="100" w:type="dxa"/>
              <w:end w:w="120" w:type="dxa"/>
            </w:tcMar>
            <w:vAlign w:val="top"/>
          </w:tcPr>
          <w:p>
            <w:r>
              <w:t>Run YOUNGER-ACTIVITY-PACK stations in order. Offer opt-out quiet helper role.</w:t>
            </w:r>
          </w:p>
        </w:tc>
      </w:tr>
      <w:tr>
        <w:tc>
          <w:tcPr>
            <w:tcW w:type="dxa" w:w="3312"/>
            <w:tcMar>
              <w:top w:w="100" w:type="dxa"/>
              <w:start w:w="120" w:type="dxa"/>
              <w:bottom w:w="100" w:type="dxa"/>
              <w:end w:w="120" w:type="dxa"/>
            </w:tcMar>
            <w:shd w:fill="FFF8E8"/>
            <w:vAlign w:val="top"/>
          </w:tcPr>
          <w:p>
            <w:r>
              <w:t>28–35</w:t>
            </w:r>
          </w:p>
        </w:tc>
        <w:tc>
          <w:tcPr>
            <w:tcW w:type="dxa" w:w="3312"/>
            <w:tcMar>
              <w:top w:w="100" w:type="dxa"/>
              <w:start w:w="120" w:type="dxa"/>
              <w:bottom w:w="100" w:type="dxa"/>
              <w:end w:w="120" w:type="dxa"/>
            </w:tcMar>
            <w:shd w:fill="FFF8E8"/>
            <w:vAlign w:val="top"/>
          </w:tcPr>
          <w:p>
            <w:r>
              <w:t>Recall</w:t>
            </w:r>
          </w:p>
        </w:tc>
        <w:tc>
          <w:tcPr>
            <w:tcW w:type="dxa" w:w="3312"/>
            <w:tcMar>
              <w:top w:w="100" w:type="dxa"/>
              <w:start w:w="120" w:type="dxa"/>
              <w:bottom w:w="100" w:type="dxa"/>
              <w:end w:w="120" w:type="dxa"/>
            </w:tcMar>
            <w:shd w:fill="FFF8E8"/>
            <w:vAlign w:val="top"/>
          </w:tcPr>
          <w:p>
            <w:r>
              <w:t>Choral memory phrase twice; one child restates with a picture card.</w:t>
            </w:r>
          </w:p>
        </w:tc>
      </w:tr>
      <w:tr>
        <w:tc>
          <w:tcPr>
            <w:tcW w:type="dxa" w:w="3312"/>
            <w:tcMar>
              <w:top w:w="100" w:type="dxa"/>
              <w:start w:w="120" w:type="dxa"/>
              <w:bottom w:w="100" w:type="dxa"/>
              <w:end w:w="120" w:type="dxa"/>
            </w:tcMar>
            <w:vAlign w:val="top"/>
          </w:tcPr>
          <w:p>
            <w:r>
              <w:t>35–40</w:t>
            </w:r>
          </w:p>
        </w:tc>
        <w:tc>
          <w:tcPr>
            <w:tcW w:type="dxa" w:w="3312"/>
            <w:tcMar>
              <w:top w:w="100" w:type="dxa"/>
              <w:start w:w="120" w:type="dxa"/>
              <w:bottom w:w="100" w:type="dxa"/>
              <w:end w:w="120" w:type="dxa"/>
            </w:tcMar>
            <w:vAlign w:val="top"/>
          </w:tcPr>
          <w:p>
            <w:r>
              <w:t>Cleanup + handoff</w:t>
            </w:r>
          </w:p>
        </w:tc>
        <w:tc>
          <w:tcPr>
            <w:tcW w:type="dxa" w:w="3312"/>
            <w:tcMar>
              <w:top w:w="100" w:type="dxa"/>
              <w:start w:w="120" w:type="dxa"/>
              <w:bottom w:w="100" w:type="dxa"/>
              <w:end w:w="120" w:type="dxa"/>
            </w:tcMar>
            <w:vAlign w:val="top"/>
          </w:tcPr>
          <w:p>
            <w:r>
              <w:t>“Tell your family one word: clean.”</w:t>
            </w:r>
          </w:p>
        </w:tc>
      </w:tr>
    </w:tbl>
    <w:p>
      <w:pPr>
        <w:spacing w:after="40"/>
      </w:pPr>
    </w:p>
    <w:p>
      <w:pPr>
        <w:pStyle w:val="Heading2"/>
      </w:pPr>
      <w:r>
        <w:t>Step-by-step story boundary</w:t>
      </w:r>
    </w:p>
    <w:p>
      <w:pPr>
        <w:pStyle w:val="ListNumber"/>
      </w:pPr>
      <w:r>
        <w:t>Open with one concrete child-scale scene connected to this week’s essential question: Why chant the holy name — and how do we chant without turning it into a show?</w:t>
      </w:r>
    </w:p>
    <w:p>
      <w:pPr>
        <w:pStyle w:val="ListNumber"/>
      </w:pPr>
      <w:r>
        <w:t>Introduce the Lord or teacher figure only with authorized names and actions.</w:t>
      </w:r>
    </w:p>
    <w:p>
      <w:pPr>
        <w:pStyle w:val="ListNumber"/>
      </w:pPr>
      <w:r>
        <w:t>Pause for a wonder question before the craft.</w:t>
      </w:r>
    </w:p>
    <w:p>
      <w:pPr>
        <w:pStyle w:val="ListNumber"/>
      </w:pPr>
      <w:r>
        <w:t>Close by tying the craft to the memory phrase — not to fear or competition.</w:t>
      </w:r>
    </w:p>
    <w:p>
      <w:pPr>
        <w:pStyle w:val="Heading2"/>
      </w:pPr>
      <w:r>
        <w:t>Wonder questions (ask, then wait)</w:t>
      </w:r>
    </w:p>
    <w:p>
      <w:pPr>
        <w:pStyle w:val="ListNumber"/>
      </w:pPr>
      <w:r>
        <w:t>What was new for your ears today?</w:t>
      </w:r>
    </w:p>
    <w:p>
      <w:pPr>
        <w:pStyle w:val="ListNumber"/>
      </w:pPr>
      <w:r>
        <w:t>Whom can we serve with care?</w:t>
      </w:r>
    </w:p>
    <w:p>
      <w:pPr>
        <w:pStyle w:val="ListNumber"/>
      </w:pPr>
      <w:r>
        <w:t>When can our family practice five quiet minutes?</w:t>
      </w:r>
    </w:p>
    <w:p>
      <w:pPr>
        <w:pStyle w:val="Heading2"/>
      </w:pPr>
      <w:r>
        <w:t>Movement / hands-on / craft / coloring (executable)</w:t>
      </w:r>
    </w:p>
    <w:p>
      <w:pPr>
        <w:pStyle w:val="ListNumber"/>
      </w:pPr>
      <w:r>
        <w:t>Mirror cleaning demo with a safely smudged acrylic mirror; say ‘clean heart.’</w:t>
      </w:r>
    </w:p>
    <w:p>
      <w:pPr>
        <w:pStyle w:val="ListNumber"/>
      </w:pPr>
      <w:r>
        <w:t>Call-and-response names / mahā-mantra with hand-raise at the end of a full mantra.</w:t>
      </w:r>
    </w:p>
    <w:p>
      <w:pPr>
        <w:pStyle w:val="ListNumber"/>
      </w:pPr>
      <w:r>
        <w:t>Role cards: leader, responder, listener, space helper — rotate without scores.</w:t>
      </w:r>
    </w:p>
    <w:p>
      <w:r>
        <w:t xml:space="preserve">Use </w:t>
      </w:r>
      <w:r>
        <w:rPr>
          <w:rFonts w:ascii="Consolas" w:hAnsi="Consolas"/>
          <w:color w:val="7A263A"/>
          <w:sz w:val="18"/>
        </w:rPr>
        <w:t>visuals/V12/line-art-younger.svg</w:t>
      </w:r>
      <w:r>
        <w:t xml:space="preserve"> if available for coloring; otherwise plain paper + three labels. If a child refuses craft, they may be card-holder or line leader.</w:t>
      </w:r>
    </w:p>
    <w:p>
      <w:pPr>
        <w:pStyle w:val="Heading2"/>
      </w:pPr>
      <w:r>
        <w:t>Inclusive participation menu</w:t>
      </w:r>
    </w:p>
    <w:p>
      <w:pPr>
        <w:pStyle w:val="ListBullet"/>
      </w:pPr>
      <w:r>
        <w:t>Full participant</w:t>
      </w:r>
    </w:p>
    <w:p>
      <w:pPr>
        <w:pStyle w:val="ListBullet"/>
      </w:pPr>
      <w:r>
        <w:t>Listener with gesture</w:t>
      </w:r>
    </w:p>
    <w:p>
      <w:pPr>
        <w:pStyle w:val="ListBullet"/>
      </w:pPr>
      <w:r>
        <w:t>Materials helper</w:t>
      </w:r>
    </w:p>
    <w:p>
      <w:pPr>
        <w:pStyle w:val="ListBullet"/>
      </w:pPr>
      <w:r>
        <w:t>Door/line helper beside an adult</w:t>
      </w:r>
    </w:p>
    <w:p>
      <w:r>
        <w:t>Never require performance singing or public speaking.</w:t>
      </w:r>
    </w:p>
    <w:p>
      <w:pPr>
        <w:pStyle w:val="Heading2"/>
      </w:pPr>
      <w:r>
        <w:t>Behavior redirects (short)</w:t>
      </w:r>
    </w:p>
    <w:p>
      <w:pPr>
        <w:pStyle w:val="ListBullet"/>
      </w:pPr>
      <w:r>
        <w:t>Feet on floor · kind words · toy rests · quiet reset corner with a picture card.</w:t>
      </w:r>
    </w:p>
    <w:p>
      <w:pPr>
        <w:pStyle w:val="ListBullet"/>
      </w:pPr>
      <w:r>
        <w:t>Never use chanting, verse, or seating as punishment.</w:t>
      </w:r>
    </w:p>
    <w:p>
      <w:pPr>
        <w:pStyle w:val="ListBullet"/>
      </w:pPr>
      <w:r>
        <w:t>If a child is overwhelmed, offer helper role (card holder / line leader) with adult nearby.</w:t>
      </w:r>
    </w:p>
    <w:p>
      <w:pPr>
        <w:pStyle w:val="ListBullet"/>
      </w:pPr>
      <w:r>
        <w:t>If two children conflict, separate gently, name the stewardship/friend rule for this week, and reset materials together.</w:t>
      </w:r>
    </w:p>
    <w:p>
      <w:pPr>
        <w:pStyle w:val="Heading2"/>
      </w:pPr>
      <w:r>
        <w:t>Backup if energy crashes (5 minutes)</w:t>
      </w:r>
    </w:p>
    <w:p>
      <w:r>
        <w:t>Circle: whisper memory phrase → stretch → place one sticker on “we tried” chart (no scores). If still flooded, quiet picture walk of three cards only.</w:t>
      </w:r>
    </w:p>
    <w:p>
      <w:pPr>
        <w:pStyle w:val="Heading2"/>
      </w:pPr>
      <w:r>
        <w:t>Materials checklist</w:t>
      </w:r>
    </w:p>
    <w:p>
      <w:pPr>
        <w:pStyle w:val="ListBullet"/>
      </w:pPr>
      <w:r>
        <w:t>mirror</w:t>
      </w:r>
    </w:p>
    <w:p>
      <w:pPr>
        <w:pStyle w:val="ListBullet"/>
      </w:pPr>
      <w:r>
        <w:t>cloth</w:t>
      </w:r>
    </w:p>
    <w:p>
      <w:pPr>
        <w:pStyle w:val="ListBullet"/>
      </w:pPr>
      <w:r>
        <w:t>role cards</w:t>
      </w:r>
    </w:p>
    <w:p>
      <w:pPr>
        <w:pStyle w:val="ListBullet"/>
      </w:pPr>
      <w:r>
        <w:t>Pañca-tattva picture</w:t>
      </w:r>
    </w:p>
    <w:p>
      <w:pPr>
        <w:pStyle w:val="ListBullet"/>
      </w:pPr>
      <w:r>
        <w:t>Tissues, wipes, spare pencils</w:t>
      </w:r>
    </w:p>
    <w:p>
      <w:pPr>
        <w:pStyle w:val="ListBullet"/>
      </w:pPr>
      <w:r>
        <w:t>Parent handoff cards pre-written with memory phrase</w:t>
      </w:r>
    </w:p>
    <w:p>
      <w:pPr>
        <w:pStyle w:val="Heading2"/>
      </w:pPr>
      <w:r>
        <w:t>Parent handoff line</w:t>
      </w:r>
    </w:p>
    <w:p>
      <w:pPr>
        <w:pStyle w:val="Quote"/>
      </w:pPr>
      <w:r>
        <w:t>Tonight’s phrase is: “Paraṁ vijayate śrī-kṛṣṇa-saṅkīrtanam — all victory to the congregational chanting of Kṛṣṇa’s names..” Home cue: Five-minute family kīrtana or attentive mantra listening on three days..</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