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C1-W1 Weekly Print Packet</w:t>
      </w:r>
    </w:p>
    <w:p>
      <w:pPr>
        <w:pStyle w:val="Subtitle"/>
        <w:jc w:val="center"/>
      </w:pPr>
      <w:r>
        <w:t>Families Growing in Krishna Consciousness</w:t>
      </w:r>
    </w:p>
    <w:p>
      <w:pPr>
        <w:spacing w:before="360"/>
        <w:jc w:val="center"/>
      </w:pPr>
      <w:r>
        <w:rPr>
          <w:rFonts w:ascii="Cambria" w:hAnsi="Cambria" w:eastAsia="Cambria" w:cs="Cambria"/>
          <w:b/>
          <w:color w:val="7A263A"/>
          <w:sz w:val="24"/>
        </w:rPr>
        <w:t>C1-W1</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V12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Saturday 2:00–4:00 · parents onsite · snack + water only</w:t>
            </w:r>
          </w:p>
        </w:tc>
      </w:tr>
    </w:tbl>
    <w:p>
      <w:pPr>
        <w:spacing w:after="20"/>
      </w:pPr>
    </w:p>
    <w:p>
      <w:pPr>
        <w:pStyle w:val="Heading1"/>
      </w:pPr>
      <w:r>
        <w:t>Week cover + objective</w:t>
      </w:r>
    </w:p>
    <w:p>
      <w:pPr>
        <w:pStyle w:val="KUTUMBAMeta"/>
        <w:jc w:val="center"/>
      </w:pPr>
      <w:r>
        <w:t>◆  ◆  ◆</w:t>
      </w:r>
    </w:p>
    <w:p>
      <w:r>
        <w:t>week_code: C1-W1 week_title: What Is KUTUMBA, and Why Are We Here? derived_from: canonical_file: 03-first-six-months/FIRST-SIX-MONTH-DETAILED-CURRICULUM.md source_id: KUT-SRC-0004 source_hash: 7123781051c732bc82baee084284d0bcac6c6b5011baf12d07216c2e503a7f58 extraction_heading: "C1-W1 — What Is KUTUMBA, and Why Are We Here?" extraction_date: 2026-06-30 component: overview ---</w:t>
      </w:r>
    </w:p>
    <w:p>
      <w:r>
        <w:rPr>
          <w:i/>
        </w:rPr>
        <w:t>Cycle 1 — Identity and the Human Problem</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**Detail**</w:t>
            </w:r>
          </w:p>
        </w:tc>
      </w:tr>
      <w:tr>
        <w:tc>
          <w:tcPr>
            <w:tcW w:type="dxa" w:w="4968"/>
            <w:tcMar>
              <w:top w:w="100" w:type="dxa"/>
              <w:start w:w="120" w:type="dxa"/>
              <w:bottom w:w="100" w:type="dxa"/>
              <w:end w:w="120" w:type="dxa"/>
            </w:tcMar>
            <w:vAlign w:val="top"/>
          </w:tcPr>
          <w:p>
            <w:r>
              <w:t>**Week code**</w:t>
            </w:r>
          </w:p>
        </w:tc>
        <w:tc>
          <w:tcPr>
            <w:tcW w:type="dxa" w:w="4968"/>
            <w:tcMar>
              <w:top w:w="100" w:type="dxa"/>
              <w:start w:w="120" w:type="dxa"/>
              <w:bottom w:w="100" w:type="dxa"/>
              <w:end w:w="120" w:type="dxa"/>
            </w:tcMar>
            <w:vAlign w:val="top"/>
          </w:tcPr>
          <w:p>
            <w:r>
              <w:t>C1-W1</w:t>
            </w:r>
          </w:p>
        </w:tc>
      </w:tr>
      <w:tr>
        <w:tc>
          <w:tcPr>
            <w:tcW w:type="dxa" w:w="4968"/>
            <w:tcMar>
              <w:top w:w="100" w:type="dxa"/>
              <w:start w:w="120" w:type="dxa"/>
              <w:bottom w:w="100" w:type="dxa"/>
              <w:end w:w="120" w:type="dxa"/>
            </w:tcMar>
            <w:shd w:fill="FFF8E8"/>
            <w:vAlign w:val="top"/>
          </w:tcPr>
          <w:p>
            <w:r>
              <w:t>**Cycle function**</w:t>
            </w:r>
          </w:p>
        </w:tc>
        <w:tc>
          <w:tcPr>
            <w:tcW w:type="dxa" w:w="4968"/>
            <w:tcMar>
              <w:top w:w="100" w:type="dxa"/>
              <w:start w:w="120" w:type="dxa"/>
              <w:bottom w:w="100" w:type="dxa"/>
              <w:end w:w="120" w:type="dxa"/>
            </w:tcMar>
            <w:shd w:fill="FFF8E8"/>
            <w:vAlign w:val="top"/>
          </w:tcPr>
          <w:p>
            <w:r>
              <w:t>Foundational principle and family orientation</w:t>
            </w:r>
          </w:p>
        </w:tc>
      </w:tr>
      <w:tr>
        <w:tc>
          <w:tcPr>
            <w:tcW w:type="dxa" w:w="4968"/>
            <w:tcMar>
              <w:top w:w="100" w:type="dxa"/>
              <w:start w:w="120" w:type="dxa"/>
              <w:bottom w:w="100" w:type="dxa"/>
              <w:end w:w="120" w:type="dxa"/>
            </w:tcMar>
            <w:vAlign w:val="top"/>
          </w:tcPr>
          <w:p>
            <w:r>
              <w:t>**Purpose**</w:t>
            </w:r>
          </w:p>
        </w:tc>
        <w:tc>
          <w:tcPr>
            <w:tcW w:type="dxa" w:w="4968"/>
            <w:tcMar>
              <w:top w:w="100" w:type="dxa"/>
              <w:start w:w="120" w:type="dxa"/>
              <w:bottom w:w="100" w:type="dxa"/>
              <w:end w:w="120" w:type="dxa"/>
            </w:tcMar>
            <w:vAlign w:val="top"/>
          </w:tcPr>
          <w:p>
            <w:r>
              <w:t>Establish KUTUMBA as a disciplined family sādhana and formation community—not a social club, substitute temple, initiation pathway, or lecture series—and help every family choose one realistic way to grow together.</w:t>
            </w:r>
          </w:p>
        </w:tc>
      </w:tr>
      <w:tr>
        <w:tc>
          <w:tcPr>
            <w:tcW w:type="dxa" w:w="4968"/>
            <w:tcMar>
              <w:top w:w="100" w:type="dxa"/>
              <w:start w:w="120" w:type="dxa"/>
              <w:bottom w:w="100" w:type="dxa"/>
              <w:end w:w="120" w:type="dxa"/>
            </w:tcMar>
            <w:shd w:fill="FFF8E8"/>
            <w:vAlign w:val="top"/>
          </w:tcPr>
          <w:p>
            <w:r>
              <w:t>**Key verse**</w:t>
            </w:r>
          </w:p>
        </w:tc>
        <w:tc>
          <w:tcPr>
            <w:tcW w:type="dxa" w:w="4968"/>
            <w:tcMar>
              <w:top w:w="100" w:type="dxa"/>
              <w:start w:w="120" w:type="dxa"/>
              <w:bottom w:w="100" w:type="dxa"/>
              <w:end w:w="120" w:type="dxa"/>
            </w:tcMar>
            <w:shd w:fill="FFF8E8"/>
            <w:vAlign w:val="top"/>
          </w:tcPr>
          <w:p>
            <w:r>
              <w:t>Śrīmad-Bhāgavatam 1.2.18 — nityaṁ bhāgavata-sevayā</w:t>
            </w:r>
          </w:p>
        </w:tc>
      </w:tr>
      <w:tr>
        <w:tc>
          <w:tcPr>
            <w:tcW w:type="dxa" w:w="4968"/>
            <w:tcMar>
              <w:top w:w="100" w:type="dxa"/>
              <w:start w:w="120" w:type="dxa"/>
              <w:bottom w:w="100" w:type="dxa"/>
              <w:end w:w="120" w:type="dxa"/>
            </w:tcMar>
            <w:vAlign w:val="top"/>
          </w:tcPr>
          <w:p>
            <w:r>
              <w:t>**Memory line**</w:t>
            </w:r>
          </w:p>
        </w:tc>
        <w:tc>
          <w:tcPr>
            <w:tcW w:type="dxa" w:w="4968"/>
            <w:tcMar>
              <w:top w:w="100" w:type="dxa"/>
              <w:start w:w="120" w:type="dxa"/>
              <w:bottom w:w="100" w:type="dxa"/>
              <w:end w:w="120" w:type="dxa"/>
            </w:tcMar>
            <w:vAlign w:val="top"/>
          </w:tcPr>
          <w:p>
            <w:r>
              <w:t>Regular hearing and service cleanse the heart and make devotion steady.</w:t>
            </w:r>
          </w:p>
        </w:tc>
      </w:tr>
      <w:tr>
        <w:tc>
          <w:tcPr>
            <w:tcW w:type="dxa" w:w="4968"/>
            <w:tcMar>
              <w:top w:w="100" w:type="dxa"/>
              <w:start w:w="120" w:type="dxa"/>
              <w:bottom w:w="100" w:type="dxa"/>
              <w:end w:w="120" w:type="dxa"/>
            </w:tcMar>
            <w:shd w:fill="FFF8E8"/>
            <w:vAlign w:val="top"/>
          </w:tcPr>
          <w:p>
            <w:r>
              <w:t>**Bhakti laboratory**</w:t>
            </w:r>
          </w:p>
        </w:tc>
        <w:tc>
          <w:tcPr>
            <w:tcW w:type="dxa" w:w="4968"/>
            <w:tcMar>
              <w:top w:w="100" w:type="dxa"/>
              <w:start w:w="120" w:type="dxa"/>
              <w:bottom w:w="100" w:type="dxa"/>
              <w:end w:w="120" w:type="dxa"/>
            </w:tcMar>
            <w:shd w:fill="FFF8E8"/>
            <w:vAlign w:val="top"/>
          </w:tcPr>
          <w:p>
            <w:r>
              <w:t>Family Sacred-Space Reset</w:t>
            </w:r>
          </w:p>
        </w:tc>
      </w:tr>
      <w:tr>
        <w:tc>
          <w:tcPr>
            <w:tcW w:type="dxa" w:w="4968"/>
            <w:tcMar>
              <w:top w:w="100" w:type="dxa"/>
              <w:start w:w="120" w:type="dxa"/>
              <w:bottom w:w="100" w:type="dxa"/>
              <w:end w:w="120" w:type="dxa"/>
            </w:tcMar>
            <w:vAlign w:val="top"/>
          </w:tcPr>
          <w:p>
            <w:r>
              <w:t>**Minimum home practice**</w:t>
            </w:r>
          </w:p>
        </w:tc>
        <w:tc>
          <w:tcPr>
            <w:tcW w:type="dxa" w:w="4968"/>
            <w:tcMar>
              <w:top w:w="100" w:type="dxa"/>
              <w:start w:w="120" w:type="dxa"/>
              <w:bottom w:w="100" w:type="dxa"/>
              <w:end w:w="120" w:type="dxa"/>
            </w:tcMar>
            <w:vAlign w:val="top"/>
          </w:tcPr>
          <w:p>
            <w:r>
              <w:t>Hold one five-minute family practice before the next meeting: one prayer, three mahā-mantras and one appreciation.</w:t>
            </w:r>
          </w:p>
        </w:tc>
      </w:tr>
    </w:tbl>
    <w:p>
      <w:pPr>
        <w:spacing w:after="40"/>
      </w:pPr>
    </w:p>
    <w:p>
      <w:pPr>
        <w:pStyle w:val="Heading1"/>
      </w:pPr>
      <w:r>
        <w:t>Verse / concept visual</w:t>
      </w:r>
    </w:p>
    <w:p>
      <w:r>
        <w:drawing>
          <wp:inline xmlns:a="http://schemas.openxmlformats.org/drawingml/2006/main" xmlns:pic="http://schemas.openxmlformats.org/drawingml/2006/picture">
            <wp:extent cx="5303520" cy="6863379"/>
            <wp:docPr id="1" name="Picture 1"/>
            <wp:cNvGraphicFramePr>
              <a:graphicFrameLocks noChangeAspect="1"/>
            </wp:cNvGraphicFramePr>
            <a:graphic>
              <a:graphicData uri="http://schemas.openxmlformats.org/drawingml/2006/picture">
                <pic:pic>
                  <pic:nvPicPr>
                    <pic:cNvPr id="0" name="verse-card.png"/>
                    <pic:cNvPicPr/>
                  </pic:nvPicPr>
                  <pic:blipFill>
                    <a:blip r:embed="rId11"/>
                    <a:stretch>
                      <a:fillRect/>
                    </a:stretch>
                  </pic:blipFill>
                  <pic:spPr>
                    <a:xfrm>
                      <a:off x="0" y="0"/>
                      <a:ext cx="5303520" cy="6863379"/>
                    </a:xfrm>
                    <a:prstGeom prst="rect"/>
                  </pic:spPr>
                </pic:pic>
              </a:graphicData>
            </a:graphic>
          </wp:inline>
        </w:drawing>
      </w:r>
    </w:p>
    <w:p>
      <w:r>
        <w:drawing>
          <wp:inline xmlns:a="http://schemas.openxmlformats.org/drawingml/2006/main" xmlns:pic="http://schemas.openxmlformats.org/drawingml/2006/picture">
            <wp:extent cx="5303520" cy="2784348"/>
            <wp:docPr id="2" name="Picture 2"/>
            <wp:cNvGraphicFramePr>
              <a:graphicFrameLocks noChangeAspect="1"/>
            </wp:cNvGraphicFramePr>
            <a:graphic>
              <a:graphicData uri="http://schemas.openxmlformats.org/drawingml/2006/picture">
                <pic:pic>
                  <pic:nvPicPr>
                    <pic:cNvPr id="0" name="concept-diagram.png"/>
                    <pic:cNvPicPr/>
                  </pic:nvPicPr>
                  <pic:blipFill>
                    <a:blip r:embed="rId12"/>
                    <a:stretch>
                      <a:fillRect/>
                    </a:stretch>
                  </pic:blipFill>
                  <pic:spPr>
                    <a:xfrm>
                      <a:off x="0" y="0"/>
                      <a:ext cx="5303520" cy="2784348"/>
                    </a:xfrm>
                    <a:prstGeom prst="rect"/>
                  </pic:spPr>
                </pic:pic>
              </a:graphicData>
            </a:graphic>
          </wp:inline>
        </w:drawing>
      </w:r>
    </w:p>
    <w:p>
      <w:pPr>
        <w:pStyle w:val="Heading1"/>
      </w:pPr>
      <w:r>
        <w:t>Family handout / home practice</w:t>
      </w:r>
    </w:p>
    <w:p>
      <w:r>
        <w:rPr>
          <w:b/>
        </w:rPr>
        <w:t>5–15 minutes</w:t>
      </w:r>
    </w:p>
    <w:p>
      <w:pPr>
        <w:pStyle w:val="ListNumber"/>
      </w:pPr>
      <w:r>
        <w:t>Say the memory/teaching line once.</w:t>
      </w:r>
    </w:p>
    <w:p>
      <w:pPr>
        <w:pStyle w:val="ListNumber"/>
      </w:pPr>
      <w:r>
        <w:t>Read the KUTUMBA teaching meaning for the primary verse (not a long purport).</w:t>
      </w:r>
    </w:p>
    <w:p>
      <w:pPr>
        <w:pStyle w:val="ListNumber"/>
      </w:pPr>
      <w:r>
        <w:t>One gratitude or service act.</w:t>
      </w:r>
    </w:p>
    <w:p>
      <w:pPr>
        <w:pStyle w:val="ListNumber"/>
      </w:pPr>
      <w:r>
        <w:t>Minimum version if tired: one sentence of thanks.</w:t>
      </w:r>
    </w:p>
    <w:p>
      <w:r>
        <w:t>Saturday 2:00–4:00 remains the protected gathering; home practice is the daily/weekly cue.</w:t>
      </w:r>
    </w:p>
    <w:p>
      <w:pPr>
        <w:pStyle w:val="Heading1"/>
      </w:pPr>
      <w:r>
        <w:t>Younger printable(s)</w:t>
      </w:r>
    </w:p>
    <w:p>
      <w:r>
        <w:rPr>
          <w:b/>
        </w:rPr>
        <w:t>Theme:</w:t>
      </w:r>
      <w:r>
        <w:t xml:space="preserve"> What Is KUTUMBA and Why Are We Here? </w:t>
      </w:r>
      <w:r>
        <w:rPr>
          <w:b/>
        </w:rPr>
        <w:t>Primary:</w:t>
      </w:r>
      <w:r>
        <w:t xml:space="preserve"> ŚB 1.2.18 — https://vedabase.io/en/library/sb/1/2/18/ </w:t>
      </w:r>
      <w:r>
        <w:rPr>
          <w:b/>
        </w:rPr>
        <w:t>Memory phrase:</w:t>
      </w:r>
      <w:r>
        <w:t xml:space="preserve"> Regular hearing and service to Śrīmad-Bhāgavatam steadies our family's devotion.</w:t>
      </w:r>
    </w:p>
    <w:p>
      <w:pPr>
        <w:pStyle w:val="KUTUMBAMeta"/>
        <w:jc w:val="center"/>
      </w:pPr>
      <w:r>
        <w:t>◆  ◆  ◆</w:t>
      </w:r>
    </w:p>
    <w:p>
      <w:pPr>
        <w:pStyle w:val="Heading2"/>
      </w:pPr>
      <w:r>
        <w:t>Objective</w:t>
      </w:r>
    </w:p>
    <w:p>
      <w:r>
        <w:t>Children show Hear + Practice together, echo the memory phrase, and take home a garden watering card with five practice drops.</w:t>
      </w:r>
    </w:p>
    <w:p>
      <w:pPr>
        <w:pStyle w:val="Heading2"/>
      </w:pPr>
      <w:r>
        <w:t>Core activity — Seed Cup Orientation (5–8 min)</w:t>
      </w:r>
    </w:p>
    <w:p>
      <w:pPr>
        <w:pStyle w:val="ListNumber"/>
      </w:pPr>
      <w:r>
        <w:t xml:space="preserve">Teacher shows a clear cup with a paper seed labeled </w:t>
      </w:r>
      <w:r>
        <w:rPr>
          <w:b/>
        </w:rPr>
        <w:t>Hear → Practice</w:t>
      </w:r>
      <w:r>
        <w:t>.</w:t>
      </w:r>
    </w:p>
    <w:p>
      <w:pPr>
        <w:pStyle w:val="ListNumber"/>
      </w:pPr>
      <w:r>
        <w:t>Children take turns tapping the Hear side, then the Practice side.</w:t>
      </w:r>
    </w:p>
    <w:p>
      <w:pPr>
        <w:pStyle w:val="ListNumber"/>
      </w:pPr>
      <w:r>
        <w:t>Ask: “Does the garden grow if we only splash once a week and forget?” Children shake heads.</w:t>
      </w:r>
    </w:p>
    <w:p>
      <w:pPr>
        <w:pStyle w:val="ListNumber"/>
      </w:pPr>
      <w:r>
        <w:t xml:space="preserve">Ask: “What if we hear on Saturday </w:t>
      </w:r>
      <w:r>
        <w:rPr>
          <w:i/>
        </w:rPr>
        <w:t>and</w:t>
      </w:r>
      <w:r>
        <w:t xml:space="preserve"> practice a little at home?” Children nod.</w:t>
      </w:r>
    </w:p>
    <w:p>
      <w:pPr>
        <w:pStyle w:val="ListNumber"/>
      </w:pPr>
      <w:r>
        <w:t>End with three echoes of the memory phrase (clap rhythm).</w:t>
      </w:r>
    </w:p>
    <w:p>
      <w:pPr>
        <w:pStyle w:val="Heading2"/>
      </w:pPr>
      <w:r>
        <w:t>Story boundary</w:t>
      </w:r>
    </w:p>
    <w:p>
      <w:r>
        <w:t>Paraphrase only from the younger teacher guide (protected hearing habit + regular Bhāgavata service). No invented deity dialogue. No graphic violence. No fear tactics. Do not claim our room equals Naimiṣāraṇya.</w:t>
      </w:r>
    </w:p>
    <w:p>
      <w:pPr>
        <w:pStyle w:val="Heading2"/>
      </w:pPr>
      <w:r>
        <w:t>Movement — Freeze and Water</w:t>
      </w:r>
    </w:p>
    <w:p>
      <w:pPr>
        <w:pStyle w:val="ListNumber"/>
      </w:pPr>
      <w:r>
        <w:t>Children walk slowly in a circle.</w:t>
      </w:r>
    </w:p>
    <w:p>
      <w:pPr>
        <w:pStyle w:val="ListNumber"/>
      </w:pPr>
      <w:r>
        <w:t xml:space="preserve">Teacher says </w:t>
      </w:r>
      <w:r>
        <w:rPr>
          <w:b/>
        </w:rPr>
        <w:t>Freeze!</w:t>
      </w:r>
      <w:r>
        <w:t xml:space="preserve"> = stop.</w:t>
      </w:r>
    </w:p>
    <w:p>
      <w:pPr>
        <w:pStyle w:val="ListNumber"/>
      </w:pPr>
      <w:r>
        <w:t>Teacher starts memory phrase; children finish it.</w:t>
      </w:r>
    </w:p>
    <w:p>
      <w:pPr>
        <w:pStyle w:val="ListNumber"/>
      </w:pPr>
      <w:r>
        <w:t xml:space="preserve">Teacher says </w:t>
      </w:r>
      <w:r>
        <w:rPr>
          <w:b/>
        </w:rPr>
        <w:t>Water!</w:t>
      </w:r>
      <w:r>
        <w:t xml:space="preserve"> = two gentle finger-taps toward center.</w:t>
      </w:r>
    </w:p>
    <w:p>
      <w:pPr>
        <w:pStyle w:val="ListNumber"/>
      </w:pPr>
      <w:r>
        <w:t>Three rounds, then sit. On round three, point to the better picture: Saturday + home practice.</w:t>
      </w:r>
    </w:p>
    <w:p>
      <w:pPr>
        <w:pStyle w:val="Heading2"/>
      </w:pPr>
      <w:r>
        <w:t>Craft — Garden watering card (step-by-step)</w:t>
      </w:r>
    </w:p>
    <w:p>
      <w:pPr>
        <w:pStyle w:val="ListNumber"/>
      </w:pPr>
      <w:r>
        <w:t>Fold card stock into a mini-folder.</w:t>
      </w:r>
    </w:p>
    <w:p>
      <w:pPr>
        <w:pStyle w:val="ListNumber"/>
      </w:pPr>
      <w:r>
        <w:t>Outside: draw a small plant or sprout.</w:t>
      </w:r>
    </w:p>
    <w:p>
      <w:pPr>
        <w:pStyle w:val="ListNumber"/>
      </w:pPr>
      <w:r>
        <w:t xml:space="preserve">Inside: write or sticker the memory phrase (or short echo: </w:t>
      </w:r>
      <w:r>
        <w:rPr>
          <w:i/>
        </w:rPr>
        <w:t>Hear + Practice steadies us</w:t>
      </w:r>
      <w:r>
        <w:t>).</w:t>
      </w:r>
    </w:p>
    <w:p>
      <w:pPr>
        <w:pStyle w:val="ListNumber"/>
      </w:pPr>
      <w:r>
        <w:t>On the back: draw five empty water-drop outlines.</w:t>
      </w:r>
    </w:p>
    <w:p>
      <w:pPr>
        <w:pStyle w:val="ListNumber"/>
      </w:pPr>
      <w:r>
        <w:t>Color drop 1 now while whispering the phrase.</w:t>
      </w:r>
    </w:p>
    <w:p>
      <w:pPr>
        <w:pStyle w:val="ListNumber"/>
      </w:pPr>
      <w:r>
        <w:t>Take home; after each home practice this week, color one more drop.</w:t>
      </w:r>
    </w:p>
    <w:p>
      <w:pPr>
        <w:pStyle w:val="ListNumber"/>
      </w:pPr>
      <w:r>
        <w:t>Place near dinner dishes or the family’s chosen chair.</w:t>
      </w:r>
    </w:p>
    <w:p>
      <w:pPr>
        <w:pStyle w:val="Heading2"/>
      </w:pPr>
      <w:r>
        <w:t>Printable</w:t>
      </w:r>
    </w:p>
    <w:p>
      <w:r>
        <w:t xml:space="preserve">Color </w:t>
      </w:r>
      <w:r>
        <w:rPr>
          <w:rFonts w:ascii="Consolas" w:hAnsi="Consolas"/>
          <w:color w:val="7A263A"/>
          <w:sz w:val="18"/>
        </w:rPr>
        <w:t>../visuals/V12/line-art-younger.svg</w:t>
      </w:r>
      <w:r>
        <w:t xml:space="preserve"> on US Letter if present. If missing, children color their garden card only.</w:t>
      </w:r>
    </w:p>
    <w:p>
      <w:pPr>
        <w:pStyle w:val="Heading2"/>
      </w:pPr>
      <w:r>
        <w:t>Backup (low prep)</w:t>
      </w:r>
    </w:p>
    <w:p>
      <w:r>
        <w:t>Pass a soft object around the circle. Each child says one word: “hear,” “practice,” “kind,” or “Kṛṣṇa.” Close with the memory phrase.</w:t>
      </w:r>
    </w:p>
    <w:p>
      <w:pPr>
        <w:pStyle w:val="Heading2"/>
      </w:pPr>
      <w:r>
        <w:t>Materials</w:t>
      </w:r>
    </w:p>
    <w:p>
      <w:r>
        <w:t>Printed line art (optional), crayons, card stock, demo seed cup, soft toss object, blue markers for drops, tape.</w:t>
      </w:r>
    </w:p>
    <w:p>
      <w:pPr>
        <w:pStyle w:val="Heading2"/>
      </w:pPr>
      <w:r>
        <w:t>Parent note (glue inside card or say at handoff)</w:t>
      </w:r>
    </w:p>
    <w:tbl>
      <w:tblPr>
        <w:tblW w:type="auto" w:w="0"/>
        <w:jc w:val="center"/>
        <w:tblLayout w:type="fixed"/>
        <w:tblLook w:firstColumn="1" w:firstRow="1" w:lastColumn="0" w:lastRow="0" w:noHBand="0" w:noVBand="1" w:val="04A0"/>
        <w:tblBorders>
          <w:top w:val="single" w:sz="8" w:color="5B1933"/>
          <w:left w:val="single" w:sz="8" w:color="5B1933"/>
          <w:bottom w:val="single" w:sz="8" w:color="5B1933"/>
          <w:right w:val="single" w:sz="8" w:color="5B1933"/>
          <w:insideH w:val="single" w:sz="8" w:color="5B1933"/>
          <w:insideV w:val="single" w:sz="8" w:color="5B1933"/>
        </w:tblBorders>
      </w:tblPr>
      <w:tblGrid>
        <w:gridCol w:w="1944"/>
        <w:gridCol w:w="8136"/>
      </w:tblGrid>
      <w:tr>
        <w:tc>
          <w:tcPr>
            <w:tcW w:type="dxa" w:w="4968"/>
            <w:shd w:fill="5B1933"/>
            <w:tcMar>
              <w:top w:w="130" w:type="dxa"/>
              <w:start w:w="140" w:type="dxa"/>
              <w:bottom w:w="130" w:type="dxa"/>
              <w:end w:w="140" w:type="dxa"/>
            </w:tcMar>
            <w:vAlign w:val="center"/>
          </w:tcPr>
          <w:p>
            <w:pPr>
              <w:pStyle w:val="KUTUMBACalloutLabel"/>
              <w:jc w:val="center"/>
            </w:pPr>
            <w:r>
              <w:t>HOME PRACTICE</w:t>
            </w:r>
          </w:p>
        </w:tc>
        <w:tc>
          <w:tcPr>
            <w:tcW w:type="dxa" w:w="4968"/>
            <w:shd w:fill="F8E8BF"/>
            <w:tcMar>
              <w:top w:w="130" w:type="dxa"/>
              <w:start w:w="140" w:type="dxa"/>
              <w:bottom w:w="130" w:type="dxa"/>
              <w:end w:w="140" w:type="dxa"/>
            </w:tcMar>
            <w:vAlign w:val="center"/>
          </w:tcPr>
          <w:p>
            <w:pPr>
              <w:pStyle w:val="KUTUMBACalloutBody"/>
            </w:pPr>
            <w:r>
              <w:t>After dinner dishes, say the memory phrase once and color one water drop. Five minutes is enough. Snack/water only at the Saturday program; no weekly meal. We do not rank children.</w:t>
            </w:r>
          </w:p>
        </w:tc>
      </w:tr>
    </w:tbl>
    <w:p>
      <w:pPr>
        <w:spacing w:after="20"/>
      </w:pPr>
    </w:p>
    <w:p>
      <w:pPr>
        <w:pStyle w:val="Heading1"/>
      </w:pPr>
      <w:r>
        <w:t>Older printable(s)</w:t>
      </w:r>
    </w:p>
    <w:p>
      <w:r>
        <w:rPr>
          <w:b/>
        </w:rPr>
        <w:t>Theme:</w:t>
      </w:r>
      <w:r>
        <w:t xml:space="preserve"> What Is KUTUMBA and Why Are We Here? </w:t>
      </w:r>
      <w:r>
        <w:rPr>
          <w:b/>
        </w:rPr>
        <w:t>Primary:</w:t>
      </w:r>
      <w:r>
        <w:t xml:space="preserve"> ŚB 1.2.18 — https://vedabase.io/en/library/sb/1/2/18/ </w:t>
      </w:r>
      <w:r>
        <w:rPr>
          <w:b/>
        </w:rPr>
        <w:t>Essential question:</w:t>
      </w:r>
      <w:r>
        <w:t xml:space="preserve"> Why are we committing as a family?</w:t>
      </w:r>
    </w:p>
    <w:p>
      <w:pPr>
        <w:pStyle w:val="KUTUMBAMeta"/>
        <w:jc w:val="center"/>
      </w:pPr>
      <w:r>
        <w:t>◆  ◆  ◆</w:t>
      </w:r>
    </w:p>
    <w:p>
      <w:pPr>
        <w:pStyle w:val="Heading2"/>
      </w:pPr>
      <w:r>
        <w:t>Materials for each student</w:t>
      </w:r>
    </w:p>
    <w:p>
      <w:pPr>
        <w:pStyle w:val="ListBullet"/>
      </w:pPr>
      <w:r>
        <w:t>This worksheet (printed)</w:t>
      </w:r>
    </w:p>
    <w:p>
      <w:pPr>
        <w:pStyle w:val="ListBullet"/>
      </w:pPr>
      <w:r>
        <w:t>Pencil</w:t>
      </w:r>
    </w:p>
    <w:p>
      <w:pPr>
        <w:pStyle w:val="ListBullet"/>
      </w:pPr>
      <w:r>
        <w:t>Hear–Practice–Steady diagram (Section C)</w:t>
      </w:r>
    </w:p>
    <w:p>
      <w:pPr>
        <w:pStyle w:val="ListBullet"/>
      </w:pPr>
      <w:r>
        <w:t>One scenario card (assigned)</w:t>
      </w:r>
    </w:p>
    <w:p>
      <w:pPr>
        <w:pStyle w:val="ListBullet"/>
      </w:pPr>
      <w:r>
        <w:t>Project half-sheet (Section E)</w:t>
      </w:r>
    </w:p>
    <w:p>
      <w:r>
        <w:t xml:space="preserve">Teachers: expected directions are in </w:t>
      </w:r>
      <w:r>
        <w:rPr>
          <w:rFonts w:ascii="Consolas" w:hAnsi="Consolas"/>
          <w:color w:val="7A263A"/>
          <w:sz w:val="18"/>
        </w:rPr>
        <w:t>OLDER-ANSWER-KEY.md</w:t>
      </w:r>
      <w:r>
        <w:t xml:space="preserve"> (teacher only).</w:t>
      </w:r>
    </w:p>
    <w:p>
      <w:pPr>
        <w:pStyle w:val="KUTUMBAMeta"/>
        <w:jc w:val="center"/>
      </w:pPr>
      <w:r>
        <w:t>◆  ◆  ◆</w:t>
      </w:r>
    </w:p>
    <w:p>
      <w:pPr>
        <w:pStyle w:val="Heading2"/>
      </w:pPr>
      <w:r>
        <w:t>Section A — Text observation (ŚB 1.2.18)</w:t>
      </w:r>
    </w:p>
    <w:p>
      <w:r>
        <w:rPr>
          <w:b/>
        </w:rPr>
        <w:t>IAST:</w:t>
      </w:r>
      <w:r>
        <w:t xml:space="preserve"> naṣṭa-prāyeṣv abhadreṣu nityaṁ bhāgavata-sevayā / bhagavaty uttama-śloke bhaktir bhavati naiṣṭhikī</w:t>
      </w:r>
    </w:p>
    <w:p>
      <w:r>
        <w:rPr>
          <w:b/>
        </w:rPr>
        <w:t>KUTUMBA teaching meaning:</w:t>
      </w:r>
      <w:r>
        <w:t xml:space="preserve"> When we regularly hear and serve the Bhāgavata (book and devotee association), troubles in the heart are cleared and steady devotion to the Lord becomes established.</w:t>
      </w:r>
    </w:p>
    <w:p>
      <w:r>
        <w:rPr>
          <w:i/>
        </w:rPr>
        <w:t>(Labeled KUTUMBA teaching meaning — not labeled as BBT translation.)</w:t>
      </w:r>
    </w:p>
    <w:p>
      <w:r>
        <w:rPr>
          <w:b/>
        </w:rPr>
        <w:t>Source:</w:t>
      </w:r>
      <w:r>
        <w:t xml:space="preserve"> https://vedabase.io/en/library/sb/1/2/18/</w:t>
      </w:r>
    </w:p>
    <w:p>
      <w:pPr>
        <w:pStyle w:val="ListNumber"/>
      </w:pPr>
      <w:r>
        <w:t>In your own words, what does “regularly hear and serve the Bhāgavata” include?</w:t>
      </w:r>
    </w:p>
    <w:p>
      <w:pPr>
        <w:pStyle w:val="ListNumber"/>
      </w:pPr>
      <w:r>
        <w:t xml:space="preserve">Circle three key words in the teaching meaning: regularly / hear-serve / steady devotion / laboratory / ranking. (Cross out the two that do </w:t>
      </w:r>
      <w:r>
        <w:rPr>
          <w:b/>
        </w:rPr>
        <w:t>not</w:t>
      </w:r>
      <w:r>
        <w:t xml:space="preserve"> belong.)</w:t>
      </w:r>
    </w:p>
    <w:p>
      <w:pPr>
        <w:pStyle w:val="ListNumber"/>
      </w:pPr>
      <w:r>
        <w:t>Name the two halves of the week’s conclusion (hearing + _______________).</w:t>
      </w:r>
    </w:p>
    <w:p>
      <w:pPr>
        <w:pStyle w:val="ListNumber"/>
      </w:pPr>
      <w:r>
        <w:t xml:space="preserve">Why is “Coming on Saturday is enough” </w:t>
      </w:r>
      <w:r>
        <w:rPr>
          <w:b/>
        </w:rPr>
        <w:t>not</w:t>
      </w:r>
      <w:r>
        <w:t xml:space="preserve"> the meaning of this verse?</w:t>
      </w:r>
    </w:p>
    <w:p>
      <w:pPr>
        <w:pStyle w:val="ListNumber"/>
      </w:pPr>
      <w:r>
        <w:t>Why is “Alone is always holier than association” incomplete for this verse?</w:t>
      </w:r>
    </w:p>
    <w:p>
      <w:pPr>
        <w:pStyle w:val="ListNumber"/>
      </w:pPr>
      <w:r>
        <w:t>Write one if-then home cue (5–15 minutes) for your family this week.</w:t>
      </w:r>
    </w:p>
    <w:p>
      <w:pPr>
        <w:pStyle w:val="Heading2"/>
      </w:pPr>
      <w:r>
        <w:t>Section B — Scenario card response</w:t>
      </w:r>
    </w:p>
    <w:p>
      <w:r>
        <w:t>Your group card: ☐ Saturday-only ☐ Home-only avoiders ☐ Ranking hallway</w:t>
      </w:r>
    </w:p>
    <w:p>
      <w:r>
        <w:t>Write:</w:t>
      </w:r>
    </w:p>
    <w:p>
      <w:pPr>
        <w:pStyle w:val="ListNumber"/>
      </w:pPr>
      <w:r>
        <w:t>Mistaken conclusion people might grab:</w:t>
      </w:r>
    </w:p>
    <w:p>
      <w:pPr>
        <w:pStyle w:val="ListNumber"/>
      </w:pPr>
      <w:r>
        <w:t>Compassionate response (keep dignity):</w:t>
      </w:r>
    </w:p>
    <w:p>
      <w:pPr>
        <w:pStyle w:val="ListNumber"/>
      </w:pPr>
      <w:r>
        <w:t>Better family action:</w:t>
      </w:r>
    </w:p>
    <w:p>
      <w:pPr>
        <w:pStyle w:val="ListNumber"/>
      </w:pPr>
      <w:r>
        <w:t xml:space="preserve">One sentence you should </w:t>
      </w:r>
      <w:r>
        <w:rPr>
          <w:b/>
        </w:rPr>
        <w:t>not</w:t>
      </w:r>
      <w:r>
        <w:t xml:space="preserve"> say (shame, ranking, or fear):</w:t>
      </w:r>
    </w:p>
    <w:p>
      <w:pPr>
        <w:pStyle w:val="Heading2"/>
      </w:pPr>
      <w:r>
        <w:t>Section C — Hear–Practice–Steady diagram</w:t>
      </w:r>
    </w:p>
    <w:p>
      <w:r>
        <w:t>Fill the boxes (do not write private family secrets):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Protected Saturday hearing</w:t>
            </w:r>
          </w:p>
        </w:tc>
        <w:tc>
          <w:tcPr>
            <w:tcW w:type="dxa" w:w="3312"/>
            <w:shd w:fill="5B1933"/>
            <w:tcMar>
              <w:top w:w="100" w:type="dxa"/>
              <w:start w:w="120" w:type="dxa"/>
              <w:bottom w:w="100" w:type="dxa"/>
              <w:end w:w="120" w:type="dxa"/>
            </w:tcMar>
          </w:tcPr>
          <w:p>
            <w:r>
              <w:rPr>
                <w:b/>
                <w:color w:val="FFFFFF"/>
              </w:rPr>
              <w:t>Tiny home practice</w:t>
            </w:r>
          </w:p>
        </w:tc>
        <w:tc>
          <w:tcPr>
            <w:tcW w:type="dxa" w:w="3312"/>
            <w:shd w:fill="5B1933"/>
            <w:tcMar>
              <w:top w:w="100" w:type="dxa"/>
              <w:start w:w="120" w:type="dxa"/>
              <w:bottom w:w="100" w:type="dxa"/>
              <w:end w:w="120" w:type="dxa"/>
            </w:tcMar>
          </w:tcPr>
          <w:p>
            <w:r>
              <w:rPr>
                <w:b/>
                <w:color w:val="FFFFFF"/>
              </w:rPr>
              <w:t>Steadier family devotion</w:t>
            </w:r>
          </w:p>
        </w:tc>
      </w:tr>
      <w:tr>
        <w:tc>
          <w:tcPr>
            <w:tcW w:type="dxa" w:w="3312"/>
            <w:tcMar>
              <w:top w:w="100" w:type="dxa"/>
              <w:start w:w="120" w:type="dxa"/>
              <w:bottom w:w="100" w:type="dxa"/>
              <w:end w:w="120" w:type="dxa"/>
            </w:tcMar>
            <w:vAlign w:val="top"/>
          </w:tcPr>
          <w:p>
            <w:r/>
          </w:p>
        </w:tc>
        <w:tc>
          <w:tcPr>
            <w:tcW w:type="dxa" w:w="3312"/>
            <w:tcMar>
              <w:top w:w="100" w:type="dxa"/>
              <w:start w:w="120" w:type="dxa"/>
              <w:bottom w:w="100" w:type="dxa"/>
              <w:end w:w="120" w:type="dxa"/>
            </w:tcMar>
            <w:vAlign w:val="top"/>
          </w:tcPr>
          <w:p>
            <w:r/>
          </w:p>
        </w:tc>
        <w:tc>
          <w:tcPr>
            <w:tcW w:type="dxa" w:w="3312"/>
            <w:tcMar>
              <w:top w:w="100" w:type="dxa"/>
              <w:start w:w="120" w:type="dxa"/>
              <w:bottom w:w="100" w:type="dxa"/>
              <w:end w:w="120" w:type="dxa"/>
            </w:tcMar>
            <w:vAlign w:val="top"/>
          </w:tcPr>
          <w:p>
            <w:r/>
          </w:p>
        </w:tc>
      </w:tr>
    </w:tbl>
    <w:p>
      <w:pPr>
        <w:spacing w:after="40"/>
      </w:pPr>
    </w:p>
    <w:p>
      <w:r>
        <w:t xml:space="preserve">Draw an arrow labeled </w:t>
      </w:r>
      <w:r>
        <w:rPr>
          <w:b/>
        </w:rPr>
        <w:t>ŚB 1.2.18</w:t>
      </w:r>
      <w:r>
        <w:t xml:space="preserve"> into the Steady box. Inside Steady, write: </w:t>
      </w:r>
      <w:r>
        <w:rPr>
          <w:i/>
        </w:rPr>
        <w:t>Hear + Practice steadies us.</w:t>
      </w:r>
    </w:p>
    <w:p>
      <w:pPr>
        <w:pStyle w:val="Heading2"/>
      </w:pPr>
      <w:r>
        <w:t>Section D — Hear–Practice Match (class)</w:t>
      </w:r>
    </w:p>
    <w:p>
      <w:r>
        <w:t xml:space="preserve">Match term → meaning, then write one sentence: Why do </w:t>
      </w:r>
      <w:r>
        <w:rPr>
          <w:b/>
        </w:rPr>
        <w:t>Hearing</w:t>
      </w:r>
      <w:r>
        <w:t xml:space="preserve"> and </w:t>
      </w:r>
      <w:r>
        <w:rPr>
          <w:b/>
        </w:rPr>
        <w:t>Association</w:t>
      </w:r>
      <w:r>
        <w:t xml:space="preserve"> both matter for ŚB 1.2.18?</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Term</w:t>
            </w:r>
          </w:p>
        </w:tc>
        <w:tc>
          <w:tcPr>
            <w:tcW w:type="dxa" w:w="4968"/>
            <w:shd w:fill="5B1933"/>
            <w:tcMar>
              <w:top w:w="100" w:type="dxa"/>
              <w:start w:w="120" w:type="dxa"/>
              <w:bottom w:w="100" w:type="dxa"/>
              <w:end w:w="120" w:type="dxa"/>
            </w:tcMar>
          </w:tcPr>
          <w:p>
            <w:r>
              <w:rPr>
                <w:b/>
                <w:color w:val="FFFFFF"/>
              </w:rPr>
              <w:t>Meaning</w:t>
            </w:r>
          </w:p>
        </w:tc>
      </w:tr>
      <w:tr>
        <w:tc>
          <w:tcPr>
            <w:tcW w:type="dxa" w:w="4968"/>
            <w:tcMar>
              <w:top w:w="100" w:type="dxa"/>
              <w:start w:w="120" w:type="dxa"/>
              <w:bottom w:w="100" w:type="dxa"/>
              <w:end w:w="120" w:type="dxa"/>
            </w:tcMar>
            <w:vAlign w:val="top"/>
          </w:tcPr>
          <w:p>
            <w:r>
              <w:t>Hearing</w:t>
            </w:r>
          </w:p>
        </w:tc>
        <w:tc>
          <w:tcPr>
            <w:tcW w:type="dxa" w:w="4968"/>
            <w:tcMar>
              <w:top w:w="100" w:type="dxa"/>
              <w:start w:w="120" w:type="dxa"/>
              <w:bottom w:w="100" w:type="dxa"/>
              <w:end w:w="120" w:type="dxa"/>
            </w:tcMar>
            <w:vAlign w:val="top"/>
          </w:tcPr>
          <w:p>
            <w:r>
              <w:t>Regular Bhāgavata reception</w:t>
            </w:r>
          </w:p>
        </w:tc>
      </w:tr>
      <w:tr>
        <w:tc>
          <w:tcPr>
            <w:tcW w:type="dxa" w:w="4968"/>
            <w:tcMar>
              <w:top w:w="100" w:type="dxa"/>
              <w:start w:w="120" w:type="dxa"/>
              <w:bottom w:w="100" w:type="dxa"/>
              <w:end w:w="120" w:type="dxa"/>
            </w:tcMar>
            <w:shd w:fill="FFF8E8"/>
            <w:vAlign w:val="top"/>
          </w:tcPr>
          <w:p>
            <w:r>
              <w:t>Saṅkalpa</w:t>
            </w:r>
          </w:p>
        </w:tc>
        <w:tc>
          <w:tcPr>
            <w:tcW w:type="dxa" w:w="4968"/>
            <w:tcMar>
              <w:top w:w="100" w:type="dxa"/>
              <w:start w:w="120" w:type="dxa"/>
              <w:bottom w:w="100" w:type="dxa"/>
              <w:end w:w="120" w:type="dxa"/>
            </w:tcMar>
            <w:shd w:fill="FFF8E8"/>
            <w:vAlign w:val="top"/>
          </w:tcPr>
          <w:p>
            <w:r>
              <w:t>Specific practice intention</w:t>
            </w:r>
          </w:p>
        </w:tc>
      </w:tr>
      <w:tr>
        <w:tc>
          <w:tcPr>
            <w:tcW w:type="dxa" w:w="4968"/>
            <w:tcMar>
              <w:top w:w="100" w:type="dxa"/>
              <w:start w:w="120" w:type="dxa"/>
              <w:bottom w:w="100" w:type="dxa"/>
              <w:end w:w="120" w:type="dxa"/>
            </w:tcMar>
            <w:vAlign w:val="top"/>
          </w:tcPr>
          <w:p>
            <w:r>
              <w:t>Charter</w:t>
            </w:r>
          </w:p>
        </w:tc>
        <w:tc>
          <w:tcPr>
            <w:tcW w:type="dxa" w:w="4968"/>
            <w:tcMar>
              <w:top w:w="100" w:type="dxa"/>
              <w:start w:w="120" w:type="dxa"/>
              <w:bottom w:w="100" w:type="dxa"/>
              <w:end w:w="120" w:type="dxa"/>
            </w:tcMar>
            <w:vAlign w:val="top"/>
          </w:tcPr>
          <w:p>
            <w:r>
              <w:t>KUTUMBA purposes/boundaries</w:t>
            </w:r>
          </w:p>
        </w:tc>
      </w:tr>
      <w:tr>
        <w:tc>
          <w:tcPr>
            <w:tcW w:type="dxa" w:w="4968"/>
            <w:tcMar>
              <w:top w:w="100" w:type="dxa"/>
              <w:start w:w="120" w:type="dxa"/>
              <w:bottom w:w="100" w:type="dxa"/>
              <w:end w:w="120" w:type="dxa"/>
            </w:tcMar>
            <w:shd w:fill="FFF8E8"/>
            <w:vAlign w:val="top"/>
          </w:tcPr>
          <w:p>
            <w:r>
              <w:t>Association</w:t>
            </w:r>
          </w:p>
        </w:tc>
        <w:tc>
          <w:tcPr>
            <w:tcW w:type="dxa" w:w="4968"/>
            <w:tcMar>
              <w:top w:w="100" w:type="dxa"/>
              <w:start w:w="120" w:type="dxa"/>
              <w:bottom w:w="100" w:type="dxa"/>
              <w:end w:w="120" w:type="dxa"/>
            </w:tcMar>
            <w:shd w:fill="FFF8E8"/>
            <w:vAlign w:val="top"/>
          </w:tcPr>
          <w:p>
            <w:r>
              <w:t>Learning with devotees</w:t>
            </w:r>
          </w:p>
        </w:tc>
      </w:tr>
    </w:tbl>
    <w:p>
      <w:pPr>
        <w:spacing w:after="40"/>
      </w:pPr>
    </w:p>
    <w:p>
      <w:r>
        <w:t>My sentence: _______________________________________________</w:t>
      </w:r>
    </w:p>
    <w:p>
      <w:pPr>
        <w:pStyle w:val="Heading2"/>
      </w:pPr>
      <w:r>
        <w:t>Section E — Project contribution</w:t>
      </w:r>
    </w:p>
    <w:p>
      <w:r>
        <w:t>We are committing as a family because _______________________________________________.</w:t>
      </w:r>
    </w:p>
    <w:p>
      <w:r>
        <w:t>Our 5-minute if-then cue is: After _______________, we _______________.</w:t>
      </w:r>
    </w:p>
    <w:p>
      <w:pPr>
        <w:pStyle w:val="Heading2"/>
      </w:pPr>
      <w:r>
        <w:t>Section F — Reflection</w:t>
      </w:r>
    </w:p>
    <w:p>
      <w:r>
        <w:t xml:space="preserve">Where might someone confuse the </w:t>
      </w:r>
      <w:r>
        <w:rPr>
          <w:b/>
        </w:rPr>
        <w:t>garden analogy</w:t>
      </w:r>
      <w:r>
        <w:t xml:space="preserve"> with the </w:t>
      </w:r>
      <w:r>
        <w:rPr>
          <w:b/>
        </w:rPr>
        <w:t>verse itself</w:t>
      </w:r>
      <w:r>
        <w:t>? (2–4 sentences)</w:t>
      </w:r>
    </w:p>
    <w:p>
      <w:pPr>
        <w:pStyle w:val="Heading2"/>
      </w:pPr>
      <w:r>
        <w:t>Home practice reminder</w:t>
      </w:r>
    </w:p>
    <w:p>
      <w:r>
        <w:t>After dinner dishes: say the memory phrase once. Parents stay part of the Saturday 2:00–4:00 rhythm; snack/water only at program (no weekly meal).</w:t>
      </w:r>
    </w:p>
    <w:p>
      <w:pPr>
        <w:pStyle w:val="Heading1"/>
      </w:pPr>
      <w:r>
        <w:t>Project contribution</w:t>
      </w:r>
    </w:p>
    <w:p>
      <w:pPr>
        <w:pStyle w:val="Heading2"/>
      </w:pPr>
      <w:r>
        <w:t>Cumulative project title</w:t>
      </w:r>
    </w:p>
    <w:p>
      <w:r>
        <w:rPr>
          <w:b/>
        </w:rPr>
        <w:t>Who Am I, and How Should Our Family Live?</w:t>
      </w:r>
    </w:p>
    <w:p>
      <w:pPr>
        <w:pStyle w:val="Heading2"/>
      </w:pPr>
      <w:r>
        <w:t>Essential question</w:t>
      </w:r>
    </w:p>
    <w:p>
      <w:r>
        <w:t>Why are we committing as a family?</w:t>
      </w:r>
    </w:p>
    <w:p>
      <w:pPr>
        <w:pStyle w:val="Heading2"/>
      </w:pPr>
      <w:r>
        <w:t>This week layer</w:t>
      </w:r>
    </w:p>
    <w:p>
      <w:r>
        <w:t>Tied to SB 1.2.18: Protected weekly hearing plus home practice creates a path for family growth.</w:t>
      </w:r>
    </w:p>
    <w:p>
      <w:pPr>
        <w:pStyle w:val="Heading2"/>
      </w:pPr>
      <w:r>
        <w:t>Steps</w:t>
      </w:r>
    </w:p>
    <w:p>
      <w:pPr>
        <w:pStyle w:val="ListNumber"/>
      </w:pPr>
      <w:r>
        <w:t>Discuss the essential question 3–5 minutes.</w:t>
      </w:r>
    </w:p>
    <w:p>
      <w:pPr>
        <w:pStyle w:val="ListNumber"/>
      </w:pPr>
      <w:r>
        <w:t>Produce one week-specific artifact.</w:t>
      </w:r>
    </w:p>
    <w:p>
      <w:pPr>
        <w:pStyle w:val="ListNumber"/>
      </w:pPr>
      <w:r>
        <w:t>Store for Week 6.</w:t>
      </w:r>
    </w:p>
    <w:p>
      <w:pPr>
        <w:pStyle w:val="ListNumber"/>
      </w:pPr>
      <w:r>
        <w:t>Bring one sentence or drawing to reunification.</w:t>
      </w:r>
    </w:p>
    <w:p>
      <w:pPr>
        <w:pStyle w:val="Heading2"/>
      </w:pPr>
      <w:r>
        <w:t>Primary source</w:t>
      </w:r>
    </w:p>
    <w:p>
      <w:r>
        <w:t>SB 1.2.18 — https://vedabase.io/en/library/sb/1/2/18/</w:t>
      </w:r>
    </w:p>
    <w:p>
      <w:pPr>
        <w:pStyle w:val="Heading2"/>
      </w:pPr>
      <w:r>
        <w:t>Boundaries</w:t>
      </w:r>
    </w:p>
    <w:p>
      <w:r>
        <w:t>No ranking; no forced disclosure; distinguish scripture paraphrase from analogy. For W6 review, represent W5 with BG 8.15 (not BG 5.22 as primary).</w:t>
      </w:r>
    </w:p>
    <w:p>
      <w:pPr>
        <w:pStyle w:val="Heading2"/>
      </w:pPr>
      <w:r>
        <w:t>Success look-fors</w:t>
      </w:r>
    </w:p>
    <w:p>
      <w:r>
        <w:t>Artifact exists; family can state conclusion; home cue named.</w:t>
      </w:r>
    </w:p>
    <w:p>
      <w:r>
        <w:br w:type="page"/>
      </w:r>
    </w:p>
    <w:p>
      <w:pPr>
        <w:pStyle w:val="Heading1"/>
      </w:pPr>
      <w:r>
        <w:t>TEACHER-ONLY: Answer key</w:t>
      </w:r>
    </w:p>
    <w:p>
      <w:r>
        <w:rPr>
          <w:b/>
        </w:rPr>
        <w:t>Week:</w:t>
      </w:r>
      <w:r>
        <w:t xml:space="preserve"> What Is KUTUMBA and Why Are We Here? </w:t>
      </w:r>
      <w:r>
        <w:rPr>
          <w:b/>
        </w:rPr>
        <w:t>Primary:</w:t>
      </w:r>
      <w:r>
        <w:t xml:space="preserve"> ŚB 1.2.18 — https://vedabase.io/en/library/sb/1/2/18/ </w:t>
      </w:r>
      <w:r>
        <w:rPr>
          <w:b/>
        </w:rPr>
        <w:t>Do not distribute to students during first attempt. Not a ranking tool.</w:t>
      </w:r>
    </w:p>
    <w:p>
      <w:pPr>
        <w:pStyle w:val="KUTUMBAMeta"/>
        <w:jc w:val="center"/>
      </w:pPr>
      <w:r>
        <w:t>◆  ◆  ◆</w:t>
      </w:r>
    </w:p>
    <w:p>
      <w:pPr>
        <w:pStyle w:val="Heading2"/>
      </w:pPr>
      <w:r>
        <w:t>Section A — expected directions</w:t>
      </w:r>
    </w:p>
    <w:p>
      <w:pPr>
        <w:pStyle w:val="ListNumber"/>
      </w:pPr>
      <w:r>
        <w:rPr>
          <w:b/>
        </w:rPr>
        <w:t>Includes:</w:t>
      </w:r>
      <w:r>
        <w:t xml:space="preserve"> Regular hearing of Śrīmad-Bhāgavatam and service connected to the Bhāgavata — including book and devotee association (accept close paraphrases).</w:t>
      </w:r>
    </w:p>
    <w:p>
      <w:pPr>
        <w:pStyle w:val="ListNumber"/>
      </w:pPr>
      <w:r>
        <w:rPr>
          <w:b/>
        </w:rPr>
        <w:t>Circle:</w:t>
      </w:r>
      <w:r>
        <w:t xml:space="preserve"> regularly, hear-serve (or hear/serve), steady devotion. </w:t>
      </w:r>
      <w:r>
        <w:rPr>
          <w:b/>
        </w:rPr>
        <w:t>Cross out:</w:t>
      </w:r>
      <w:r>
        <w:t xml:space="preserve"> laboratory, ranking.</w:t>
      </w:r>
    </w:p>
    <w:p>
      <w:pPr>
        <w:pStyle w:val="ListNumber"/>
      </w:pPr>
      <w:r>
        <w:rPr>
          <w:b/>
        </w:rPr>
        <w:t>Two halves:</w:t>
      </w:r>
      <w:r>
        <w:t xml:space="preserve"> Protected weekly hearing </w:t>
      </w:r>
      <w:r>
        <w:rPr>
          <w:b/>
        </w:rPr>
        <w:t>and</w:t>
      </w:r>
      <w:r>
        <w:t xml:space="preserve"> home practice (path for family growth).</w:t>
      </w:r>
    </w:p>
    <w:p>
      <w:pPr>
        <w:pStyle w:val="ListNumber"/>
      </w:pPr>
      <w:r>
        <w:rPr>
          <w:b/>
        </w:rPr>
        <w:t>Not “Saturday enough”:</w:t>
      </w:r>
      <w:r>
        <w:t xml:space="preserve"> The verse stresses </w:t>
      </w:r>
      <w:r>
        <w:rPr>
          <w:i/>
        </w:rPr>
        <w:t>nityaṁ</w:t>
      </w:r>
      <w:r>
        <w:t xml:space="preserve"> / regular Bhāgavata service; event tourism without home practice is incomplete.</w:t>
      </w:r>
    </w:p>
    <w:p>
      <w:pPr>
        <w:pStyle w:val="ListNumber"/>
      </w:pPr>
      <w:r>
        <w:rPr>
          <w:b/>
        </w:rPr>
        <w:t>Not “alone always holier”:</w:t>
      </w:r>
      <w:r>
        <w:t xml:space="preserve"> Association/service with devotees is part of the Bhāgavata-sevā frame; awkwardness is not sin.</w:t>
      </w:r>
    </w:p>
    <w:p>
      <w:pPr>
        <w:pStyle w:val="ListNumber"/>
      </w:pPr>
      <w:r>
        <w:rPr>
          <w:b/>
        </w:rPr>
        <w:t>If-then cue:</w:t>
      </w:r>
      <w:r>
        <w:t xml:space="preserve"> Any concrete 5–15 minute plan (e.g., After dinner dishes, we say the memory line once).</w:t>
      </w:r>
    </w:p>
    <w:p>
      <w:pPr>
        <w:pStyle w:val="Heading2"/>
      </w:pPr>
      <w:r>
        <w:t>Section B — scenario directions</w:t>
      </w:r>
    </w:p>
    <w:p>
      <w:pPr>
        <w:pStyle w:val="Heading3"/>
      </w:pPr>
      <w:r>
        <w:t>Saturday-only</w:t>
      </w:r>
    </w:p>
    <w:p>
      <w:pPr>
        <w:pStyle w:val="ListBullet"/>
      </w:pPr>
      <w:r>
        <w:t>Mistaken: “Attendance equals growth.”</w:t>
      </w:r>
    </w:p>
    <w:p>
      <w:pPr>
        <w:pStyle w:val="ListBullet"/>
      </w:pPr>
      <w:r>
        <w:t>Response: Thank them for showing up; invite one tiny weekday cue.</w:t>
      </w:r>
    </w:p>
    <w:p>
      <w:pPr>
        <w:pStyle w:val="ListBullet"/>
      </w:pPr>
      <w:r>
        <w:t>Action: Write if-then plan after dinner.</w:t>
      </w:r>
    </w:p>
    <w:p>
      <w:pPr>
        <w:pStyle w:val="ListBullet"/>
      </w:pPr>
      <w:r>
        <w:t>Do not say: “You’re not serious”; public ranking.</w:t>
      </w:r>
    </w:p>
    <w:p>
      <w:pPr>
        <w:pStyle w:val="Heading3"/>
      </w:pPr>
      <w:r>
        <w:t>Home-only avoiders</w:t>
      </w:r>
    </w:p>
    <w:p>
      <w:pPr>
        <w:pStyle w:val="ListBullet"/>
      </w:pPr>
      <w:r>
        <w:t>Mistaken: “Alone is always safer/holier.”</w:t>
      </w:r>
    </w:p>
    <w:p>
      <w:pPr>
        <w:pStyle w:val="ListBullet"/>
      </w:pPr>
      <w:r>
        <w:t>Response: Honor home sincerity; one low-pressure association micro-step.</w:t>
      </w:r>
    </w:p>
    <w:p>
      <w:pPr>
        <w:pStyle w:val="ListBullet"/>
      </w:pPr>
      <w:r>
        <w:t>Action: Arrive early once / sit near a friend / stay for snack only.</w:t>
      </w:r>
    </w:p>
    <w:p>
      <w:pPr>
        <w:pStyle w:val="ListBullet"/>
      </w:pPr>
      <w:r>
        <w:t>Do not say: “You’re proud/antisocial.”</w:t>
      </w:r>
    </w:p>
    <w:p>
      <w:pPr>
        <w:pStyle w:val="Heading3"/>
      </w:pPr>
      <w:r>
        <w:t>Ranking hallway</w:t>
      </w:r>
    </w:p>
    <w:p>
      <w:pPr>
        <w:pStyle w:val="ListBullet"/>
      </w:pPr>
      <w:r>
        <w:t>Mistaken: “Ranking children produces devotion.”</w:t>
      </w:r>
    </w:p>
    <w:p>
      <w:pPr>
        <w:pStyle w:val="ListBullet"/>
      </w:pPr>
      <w:r>
        <w:t>Response: Compare only to your own family’s last week, privately.</w:t>
      </w:r>
    </w:p>
    <w:p>
      <w:pPr>
        <w:pStyle w:val="ListBullet"/>
      </w:pPr>
      <w:r>
        <w:t>Action: Each child names one personal minimum — no scoreboard.</w:t>
      </w:r>
    </w:p>
    <w:p>
      <w:pPr>
        <w:pStyle w:val="ListBullet"/>
      </w:pPr>
      <w:r>
        <w:t>Do not say: “Look how advanced that child is.”</w:t>
      </w:r>
    </w:p>
    <w:p>
      <w:pPr>
        <w:pStyle w:val="Heading2"/>
      </w:pPr>
      <w:r>
        <w:t>Section C — diagram</w:t>
      </w:r>
    </w:p>
    <w:p>
      <w:r>
        <w:t>Accept coherent Hear → Practice → Steady chain. Steady cell must contain the short echo and an ŚB 1.2.18 arrow. Redirect private high-risk disclosures to a general example.</w:t>
      </w:r>
    </w:p>
    <w:p>
      <w:pPr>
        <w:pStyle w:val="Heading2"/>
      </w:pPr>
      <w:r>
        <w:t>Section D — matching</w:t>
      </w:r>
    </w:p>
    <w:p>
      <w:r>
        <w:t>| Hearing | Regular Bhāgavata reception |</w:t>
      </w:r>
    </w:p>
    <w:p>
      <w:r>
        <w:t>| Saṅkalpa | Specific practice intention |</w:t>
      </w:r>
    </w:p>
    <w:p>
      <w:r>
        <w:t>| Charter | KUTUMBA purposes/boundaries |</w:t>
      </w:r>
    </w:p>
    <w:p>
      <w:r>
        <w:t>| Association | Learning with devotees |</w:t>
      </w:r>
    </w:p>
    <w:p>
      <w:r>
        <w:t xml:space="preserve">Sentence should connect hearing </w:t>
      </w:r>
      <w:r>
        <w:rPr>
          <w:i/>
        </w:rPr>
        <w:t>and</w:t>
      </w:r>
      <w:r>
        <w:t xml:space="preserve"> association to steady devotion / ŚB 1.2.18.</w:t>
      </w:r>
    </w:p>
    <w:p>
      <w:pPr>
        <w:pStyle w:val="Heading2"/>
      </w:pPr>
      <w:r>
        <w:t>Section E–F</w:t>
      </w:r>
    </w:p>
    <w:p>
      <w:r>
        <w:t>Any sincere commitment reason + if-then cue. Reflection should note analogy ≠ verse (garden is pedagogy, not proof or ontology).</w:t>
      </w:r>
    </w:p>
    <w:p>
      <w:pPr>
        <w:pStyle w:val="Heading2"/>
      </w:pPr>
      <w:r>
        <w:t>Scoring note</w:t>
      </w:r>
    </w:p>
    <w:p>
      <w:r>
        <w:t>Use for facilitation only. No public scores. No family ranking.</w:t>
      </w:r>
    </w:p>
    <w:p>
      <w:pPr>
        <w:pStyle w:val="Heading2"/>
      </w:pPr>
      <w:r>
        <w:t>Do not accept</w:t>
      </w:r>
    </w:p>
    <w:p>
      <w:pPr>
        <w:pStyle w:val="ListBullet"/>
      </w:pPr>
      <w:r>
        <w:t>Invented verse numbers</w:t>
      </w:r>
    </w:p>
    <w:p>
      <w:pPr>
        <w:pStyle w:val="ListBullet"/>
      </w:pPr>
      <w:r>
        <w:t>“Science proves devotion / heart-cleansing”</w:t>
      </w:r>
    </w:p>
    <w:p>
      <w:pPr>
        <w:pStyle w:val="ListBullet"/>
      </w:pPr>
      <w:r>
        <w:t>Mṛgāri cited from SB 6.x / SB 4.8 (must be CC Madhya 24 if mentioned)</w:t>
      </w:r>
    </w:p>
    <w:p>
      <w:pPr>
        <w:pStyle w:val="ListBullet"/>
      </w:pPr>
      <w:r>
        <w:t>Importing W2–W3 soul ontology as this week’s only point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Teacher-only section — do not distribute to families.</w:t>
            </w:r>
          </w:p>
        </w:tc>
      </w:tr>
    </w:tbl>
    <w:p>
      <w:pPr>
        <w:spacing w:after="20"/>
      </w:pPr>
    </w:p>
    <w:p>
      <w:r>
        <w:br w:type="page"/>
      </w:r>
    </w:p>
    <w:p>
      <w:pPr>
        <w:pStyle w:val="Heading1"/>
      </w:pPr>
      <w:r>
        <w:t>TEACHER-ONLY: Younger run sheet</w:t>
      </w:r>
    </w:p>
    <w:p>
      <w:r>
        <w:rPr>
          <w:b/>
        </w:rPr>
        <w:t>Week:</w:t>
      </w:r>
      <w:r>
        <w:t xml:space="preserve"> What Is KUTUMBA and Why Are We Here? </w:t>
      </w:r>
      <w:r>
        <w:rPr>
          <w:b/>
        </w:rPr>
        <w:t>Primary:</w:t>
      </w:r>
      <w:r>
        <w:t xml:space="preserve"> ŚB 1.2.18 — https://vedabase.io/en/library/sb/1/2/18/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KUTUMBAMeta"/>
        <w:jc w:val="center"/>
      </w:pPr>
      <w:r>
        <w:t>◆  ◆  ◆</w:t>
      </w:r>
    </w:p>
    <w:p>
      <w:pPr>
        <w:pStyle w:val="Heading2"/>
      </w:pPr>
      <w:r>
        <w:t>Objective</w:t>
      </w:r>
    </w:p>
    <w:p>
      <w:r>
        <w:t xml:space="preserve">Children experience that </w:t>
      </w:r>
      <w:r>
        <w:rPr>
          <w:b/>
        </w:rPr>
        <w:t>regular hearing</w:t>
      </w:r>
      <w:r>
        <w:t xml:space="preserve"> and a tiny </w:t>
      </w:r>
      <w:r>
        <w:rPr>
          <w:b/>
        </w:rPr>
        <w:t>home practice</w:t>
      </w:r>
      <w:r>
        <w:t xml:space="preserve"> belong together. They plant a “Hear → Practice” seed card and take home one watering cue for the week.</w:t>
      </w:r>
    </w:p>
    <w:p>
      <w:pPr>
        <w:pStyle w:val="Heading2"/>
      </w:pPr>
      <w:r>
        <w:t>Exact memory phrase</w:t>
      </w:r>
    </w:p>
    <w:p>
      <w:pPr>
        <w:pStyle w:val="Quote"/>
      </w:pPr>
      <w:r>
        <w:t>Regular hearing and service to Śrīmad-Bhāgavatam steadies our family's devotion.</w:t>
      </w:r>
    </w:p>
    <w:p>
      <w:pPr>
        <w:pStyle w:val="Heading2"/>
      </w:pPr>
      <w:r>
        <w:t>Teacher background (2 minutes to review)</w:t>
      </w:r>
    </w:p>
    <w:p>
      <w:pPr>
        <w:pStyle w:val="ListBullet"/>
      </w:pPr>
      <w:r>
        <w:rPr>
          <w:b/>
        </w:rPr>
        <w:t>KUTUMBA teaching meaning (adult wording):</w:t>
      </w:r>
      <w:r>
        <w:t xml:space="preserve"> When we regularly hear and serve the Bhāgavata (book and devotee association), troubles in the heart are cleared and steady devotion to the Lord becomes established.</w:t>
      </w:r>
    </w:p>
    <w:p>
      <w:pPr>
        <w:pStyle w:val="ListBullet"/>
      </w:pPr>
      <w:r>
        <w:rPr>
          <w:b/>
        </w:rPr>
        <w:t>Child-facing paraphrase:</w:t>
      </w:r>
      <w:r>
        <w:t xml:space="preserve"> When our family hears about Kṛṣṇa again and again, and does one kind practice at home, our hearts can grow steady — like a garden that is watered every week.</w:t>
      </w:r>
    </w:p>
    <w:p>
      <w:pPr>
        <w:pStyle w:val="ListBullet"/>
      </w:pPr>
      <w:r>
        <w:rPr>
          <w:b/>
        </w:rPr>
        <w:t>Block misconceptions (child words):</w:t>
      </w:r>
    </w:p>
    <w:p>
      <w:pPr>
        <w:pStyle w:val="ListBullet2"/>
      </w:pPr>
      <w:r>
        <w:t>“Coming on Saturday is enough; we can skip home.”</w:t>
      </w:r>
    </w:p>
    <w:p>
      <w:pPr>
        <w:pStyle w:val="ListBullet2"/>
      </w:pPr>
      <w:r>
        <w:t>“Only big kids / only temple people hear.”</w:t>
      </w:r>
    </w:p>
    <w:p>
      <w:pPr>
        <w:pStyle w:val="ListBullet"/>
      </w:pPr>
      <w:r>
        <w:rPr>
          <w:b/>
        </w:rPr>
        <w:t>Do not:</w:t>
      </w:r>
      <w:r>
        <w:t xml:space="preserve"> invent sage dialogue; use fear; rank who “hears better”; claim science proves devotion.</w:t>
      </w:r>
    </w:p>
    <w:p>
      <w:pPr>
        <w:pStyle w:val="Heading2"/>
      </w:pPr>
      <w:r>
        <w:t>Materials</w:t>
      </w:r>
    </w:p>
    <w:p>
      <w:pPr>
        <w:pStyle w:val="ListBullet"/>
      </w:pPr>
      <w:r>
        <w:t xml:space="preserve">Small clear cup or pot with a paper “seed” labeled </w:t>
      </w:r>
      <w:r>
        <w:rPr>
          <w:b/>
        </w:rPr>
        <w:t>Hear → Practice</w:t>
      </w:r>
      <w:r>
        <w:t xml:space="preserve"> (demo object)</w:t>
      </w:r>
    </w:p>
    <w:p>
      <w:pPr>
        <w:pStyle w:val="ListBullet"/>
      </w:pPr>
      <w:r>
        <w:t>Card stock for garden watering cards (one per child)</w:t>
      </w:r>
    </w:p>
    <w:p>
      <w:pPr>
        <w:pStyle w:val="ListBullet"/>
      </w:pPr>
      <w:r>
        <w:t>Blue crayon / marker for “water drops”</w:t>
      </w:r>
    </w:p>
    <w:p>
      <w:pPr>
        <w:pStyle w:val="ListBullet"/>
      </w:pPr>
      <w:r>
        <w:t>Soft toss object (backup game)</w:t>
      </w:r>
    </w:p>
    <w:p>
      <w:pPr>
        <w:pStyle w:val="ListBullet"/>
      </w:pPr>
      <w:r>
        <w:t xml:space="preserve">Printed </w:t>
      </w:r>
      <w:r>
        <w:rPr>
          <w:rFonts w:ascii="Consolas" w:hAnsi="Consolas"/>
          <w:color w:val="7A263A"/>
          <w:sz w:val="18"/>
        </w:rPr>
        <w:t>visuals/V12/line-art-younger.svg</w:t>
      </w:r>
      <w:r>
        <w:t xml:space="preserve"> if available (US Letter)</w:t>
      </w:r>
    </w:p>
    <w:p>
      <w:pPr>
        <w:pStyle w:val="ListBullet"/>
      </w:pPr>
      <w:r>
        <w:t>Crayons; tape; name stickers</w:t>
      </w:r>
    </w:p>
    <w:p>
      <w:pPr>
        <w:pStyle w:val="ListBullet"/>
      </w:pPr>
      <w:r>
        <w:t>Calm-corner chair visible to room</w:t>
      </w:r>
    </w:p>
    <w:p>
      <w:pPr>
        <w:pStyle w:val="Heading2"/>
      </w:pPr>
      <w:r>
        <w:t>Room setup</w:t>
      </w:r>
    </w:p>
    <w:p>
      <w:r>
        <w:t>Circle on the floor; materials table behind you; garden demo cup at center. Keep aisles clear for Freeze-and-Remember walking.</w:t>
      </w:r>
    </w:p>
    <w:p>
      <w:pPr>
        <w:pStyle w:val="KUTUMBAMeta"/>
        <w:jc w:val="center"/>
      </w:pPr>
      <w:r>
        <w:t>◆  ◆  ◆</w:t>
      </w:r>
    </w:p>
    <w:p>
      <w:pPr>
        <w:pStyle w:val="Heading2"/>
      </w:pPr>
      <w:r>
        <w:t>Minute-by-minute executable plan</w:t>
      </w:r>
    </w:p>
    <w:p>
      <w:pPr>
        <w:pStyle w:val="Heading3"/>
      </w:pPr>
      <w:r>
        <w:t>0–5 min — Opening and recall</w:t>
      </w:r>
    </w:p>
    <w:p>
      <w:pPr>
        <w:pStyle w:val="ListNumber"/>
      </w:pPr>
      <w:r>
        <w:t>Welcome by name; feet on floor; hands in lap.</w:t>
      </w:r>
    </w:p>
    <w:p>
      <w:pPr>
        <w:pStyle w:val="ListNumber"/>
      </w:pPr>
      <w:r>
        <w:t>Show the seed cup: “Hear” on one side of the seed, “Practice” on the other.</w:t>
      </w:r>
    </w:p>
    <w:p>
      <w:pPr>
        <w:pStyle w:val="ListNumber"/>
      </w:pPr>
      <w:r>
        <w:t xml:space="preserve">Echo memory phrase twice, clap rhythm: </w:t>
      </w:r>
      <w:r>
        <w:rPr>
          <w:i/>
        </w:rPr>
        <w:t>Regular hearing / and service / steadies our devotion.</w:t>
      </w:r>
    </w:p>
    <w:p>
      <w:pPr>
        <w:pStyle w:val="ListNumber"/>
      </w:pPr>
      <w:r>
        <w:t>Ask: “Who heard a Kṛṣṇa story this week?” Accept nods; no forced stories.</w:t>
      </w:r>
    </w:p>
    <w:p>
      <w:pPr>
        <w:pStyle w:val="Heading3"/>
      </w:pPr>
      <w:r>
        <w:t>5–13 min — Story script (paraphrase only; ~8 minutes)</w:t>
      </w:r>
    </w:p>
    <w:p>
      <w:r>
        <w:rPr>
          <w:b/>
        </w:rPr>
        <w:t>Say exactly this spine (do not invent deity dialogue):</w:t>
      </w:r>
    </w:p>
    <w:p>
      <w:pPr>
        <w:pStyle w:val="Quote"/>
      </w:pPr>
      <w:r>
        <w:t xml:space="preserve">Long ago, wise people gathered in a peaceful place to hear about the Lord and ask how to live well. They did not come only once and forget. They came ready to listen carefully. We are not those forest sages — but we can borrow their </w:t>
      </w:r>
      <w:r>
        <w:rPr>
          <w:i/>
        </w:rPr>
        <w:t>habit</w:t>
      </w:r>
      <w:r>
        <w:t xml:space="preserve">: set a protected time, hear together, and take one small practice home. Śrīmad-Bhāgavatam teaches that when we regularly hear and serve — the book and the friendship of devotees — the heart can become steadier in devotion to the Lord. A garden grows when someone waters it again and again. One splash and then forgetting is not enough. Saturday hearing </w:t>
      </w:r>
      <w:r>
        <w:rPr>
          <w:i/>
        </w:rPr>
        <w:t>and</w:t>
      </w:r>
      <w:r>
        <w:t xml:space="preserve"> a tiny home practice belong together.</w:t>
      </w:r>
    </w:p>
    <w:p>
      <w:r>
        <w:rPr>
          <w:b/>
        </w:rPr>
        <w:t>Story boundaries:</w:t>
      </w:r>
      <w:r>
        <w:t xml:space="preserve"> Paraphrase from ŚB 1.1–1.2 assembly pattern and ŚB 1.2.18 themes only. No invented quotes. No fear. No claiming our room equals Naimiṣāraṇya.</w:t>
      </w:r>
    </w:p>
    <w:p>
      <w:pPr>
        <w:pStyle w:val="Heading3"/>
      </w:pPr>
      <w:r>
        <w:t>13–16 min — Three wonder questions</w:t>
      </w:r>
    </w:p>
    <w:p>
      <w:pPr>
        <w:pStyle w:val="ListNumber"/>
      </w:pPr>
      <w:r>
        <w:t>What do we do on Saturday that helps our hearts? (</w:t>
      </w:r>
      <w:r>
        <w:rPr>
          <w:b/>
        </w:rPr>
        <w:t>Hear</w:t>
      </w:r>
      <w:r>
        <w:t xml:space="preserve"> together)</w:t>
      </w:r>
    </w:p>
    <w:p>
      <w:pPr>
        <w:pStyle w:val="ListNumber"/>
      </w:pPr>
      <w:r>
        <w:t>What tiny thing can we do at home so the garden keeps growing? (</w:t>
      </w:r>
      <w:r>
        <w:rPr>
          <w:b/>
        </w:rPr>
        <w:t>Practice</w:t>
      </w:r>
      <w:r>
        <w:t>)</w:t>
      </w:r>
    </w:p>
    <w:p>
      <w:pPr>
        <w:pStyle w:val="ListNumber"/>
      </w:pPr>
      <w:r>
        <w:t>Who can we serve with kindness this week? (name one person)</w:t>
      </w:r>
    </w:p>
    <w:p>
      <w:r>
        <w:t>Accept one- or two-word answers. Affirm effort.</w:t>
      </w:r>
    </w:p>
    <w:p>
      <w:pPr>
        <w:pStyle w:val="Heading3"/>
      </w:pPr>
      <w:r>
        <w:t>16–24 min — Movement game: Freeze and Water (steps)</w:t>
      </w:r>
    </w:p>
    <w:p>
      <w:pPr>
        <w:pStyle w:val="ListNumber"/>
      </w:pPr>
      <w:r>
        <w:t>Children walk gently in a circle (or march in place).</w:t>
      </w:r>
    </w:p>
    <w:p>
      <w:pPr>
        <w:pStyle w:val="ListNumber"/>
      </w:pPr>
      <w:r>
        <w:t xml:space="preserve">Teacher says </w:t>
      </w:r>
      <w:r>
        <w:rPr>
          <w:b/>
        </w:rPr>
        <w:t>Freeze!</w:t>
      </w:r>
      <w:r>
        <w:t xml:space="preserve"> — everyone stops.</w:t>
      </w:r>
    </w:p>
    <w:p>
      <w:pPr>
        <w:pStyle w:val="ListNumber"/>
      </w:pPr>
      <w:r>
        <w:t>Teacher says the first half: “Regular hearing and service…” — children finish: “…steadies our family's devotion.”</w:t>
      </w:r>
    </w:p>
    <w:p>
      <w:pPr>
        <w:pStyle w:val="ListNumber"/>
      </w:pPr>
      <w:r>
        <w:t xml:space="preserve">Teacher says </w:t>
      </w:r>
      <w:r>
        <w:rPr>
          <w:b/>
        </w:rPr>
        <w:t>Water!</w:t>
      </w:r>
      <w:r>
        <w:t xml:space="preserve"> — children pretend to pour two gentle drops (tap one finger twice) toward the center cup.</w:t>
      </w:r>
    </w:p>
    <w:p>
      <w:pPr>
        <w:pStyle w:val="ListNumber"/>
      </w:pPr>
      <w:r>
        <w:t>Play three rounds. On round three, after Freeze, show two picture cards: (A) only Saturday, then empty week; (B) Saturday + tiny home practice. Children point to B.</w:t>
      </w:r>
    </w:p>
    <w:p>
      <w:pPr>
        <w:pStyle w:val="ListNumber"/>
      </w:pPr>
      <w:r>
        <w:t>End seated; echo memory phrase once.</w:t>
      </w:r>
    </w:p>
    <w:p>
      <w:pPr>
        <w:pStyle w:val="Heading3"/>
      </w:pPr>
      <w:r>
        <w:t>24–32 min — Craft: Garden watering card (steps)</w:t>
      </w:r>
    </w:p>
    <w:p>
      <w:pPr>
        <w:pStyle w:val="ListNumber"/>
      </w:pPr>
      <w:r>
        <w:t>Give each child a folded card-stock “garden card.”</w:t>
      </w:r>
    </w:p>
    <w:p>
      <w:pPr>
        <w:pStyle w:val="ListNumber"/>
      </w:pPr>
      <w:r>
        <w:t>Outside: draw a small plant or sprout (model once).</w:t>
      </w:r>
    </w:p>
    <w:p>
      <w:pPr>
        <w:pStyle w:val="ListNumber"/>
      </w:pPr>
      <w:r>
        <w:t xml:space="preserve">Inside, teacher or helper writes: </w:t>
      </w:r>
      <w:r>
        <w:rPr>
          <w:b/>
        </w:rPr>
        <w:t>Regular hearing and service to Śrīmad-Bhāgavatam steadies our family's devotion.</w:t>
      </w:r>
      <w:r>
        <w:t xml:space="preserve"> (Or sticker the short line if literacy is limited: </w:t>
      </w:r>
      <w:r>
        <w:rPr>
          <w:i/>
        </w:rPr>
        <w:t>Hear + Practice steadies us.</w:t>
      </w:r>
      <w:r>
        <w:t>)</w:t>
      </w:r>
    </w:p>
    <w:p>
      <w:pPr>
        <w:pStyle w:val="ListNumber"/>
      </w:pPr>
      <w:r>
        <w:t>Draw five blank water-drop circles on the back.</w:t>
      </w:r>
    </w:p>
    <w:p>
      <w:pPr>
        <w:pStyle w:val="ListNumber"/>
      </w:pPr>
      <w:r>
        <w:t>Practice once: child “waters” drop 1 by tracing blue while whispering the memory phrase.</w:t>
      </w:r>
    </w:p>
    <w:p>
      <w:pPr>
        <w:pStyle w:val="ListNumber"/>
      </w:pPr>
      <w:r>
        <w:t>Tell them: each home practice this week, color one drop.</w:t>
      </w:r>
    </w:p>
    <w:p>
      <w:r>
        <w:t xml:space="preserve">Full printable steps also live in </w:t>
      </w:r>
      <w:r>
        <w:rPr>
          <w:rFonts w:ascii="Consolas" w:hAnsi="Consolas"/>
          <w:color w:val="7A263A"/>
          <w:sz w:val="18"/>
        </w:rPr>
        <w:t>activities/YOUNGER-ACTIVITY-PACK.md</w:t>
      </w:r>
      <w:r>
        <w:t xml:space="preserve"> (use together; this guide remains executable if the pack is missing).</w:t>
      </w:r>
    </w:p>
    <w:p>
      <w:pPr>
        <w:pStyle w:val="Heading3"/>
      </w:pPr>
      <w:r>
        <w:t>32–35 min — Printable / coloring task</w:t>
      </w:r>
    </w:p>
    <w:p>
      <w:r>
        <w:t>If time remains, color the younger line-art sheet (</w:t>
      </w:r>
      <w:r>
        <w:rPr>
          <w:rFonts w:ascii="Consolas" w:hAnsi="Consolas"/>
          <w:color w:val="7A263A"/>
          <w:sz w:val="18"/>
        </w:rPr>
        <w:t>visuals/V12/line-art-younger.svg</w:t>
      </w:r>
      <w:r>
        <w:t>). If short on time, skip coloring and keep the garden card as the take-home.</w:t>
      </w:r>
    </w:p>
    <w:p>
      <w:pPr>
        <w:pStyle w:val="Heading3"/>
      </w:pPr>
      <w:r>
        <w:t>35–38 min — Behavior redirects and quiet reset</w:t>
      </w:r>
    </w:p>
    <w:p>
      <w:r>
        <w:t>Use calm, specific redirects:</w:t>
      </w:r>
    </w:p>
    <w:p>
      <w:pPr>
        <w:pStyle w:val="ListBullet"/>
      </w:pPr>
      <w:r>
        <w:rPr>
          <w:b/>
        </w:rPr>
        <w:t>Feet on floor</w:t>
      </w:r>
      <w:r>
        <w:t xml:space="preserve"> — “Feet visit the mat.”</w:t>
      </w:r>
    </w:p>
    <w:p>
      <w:pPr>
        <w:pStyle w:val="ListBullet"/>
      </w:pPr>
      <w:r>
        <w:rPr>
          <w:b/>
        </w:rPr>
        <w:t>Kind words</w:t>
      </w:r>
      <w:r>
        <w:t xml:space="preserve"> — “Garden voices are soft.”</w:t>
      </w:r>
    </w:p>
    <w:p>
      <w:pPr>
        <w:pStyle w:val="ListBullet"/>
      </w:pPr>
      <w:r>
        <w:rPr>
          <w:b/>
        </w:rPr>
        <w:t>Toy rests</w:t>
      </w:r>
      <w:r>
        <w:t xml:space="preserve"> — “Toy takes a nap on the shelf.”</w:t>
      </w:r>
    </w:p>
    <w:p>
      <w:pPr>
        <w:pStyle w:val="ListBullet"/>
      </w:pPr>
      <w:r>
        <w:rPr>
          <w:b/>
        </w:rPr>
        <w:t>Quiet reset</w:t>
      </w:r>
      <w:r>
        <w:t xml:space="preserve"> — one minute in calm corner holding the seed cup picture; rejoin on next Freeze.</w:t>
      </w:r>
    </w:p>
    <w:p>
      <w:pPr>
        <w:pStyle w:val="Heading3"/>
      </w:pPr>
      <w:r>
        <w:t>38–40 min — Cleanup and parent handoff</w:t>
      </w:r>
    </w:p>
    <w:p>
      <w:pPr>
        <w:pStyle w:val="ListNumber"/>
      </w:pPr>
      <w:r>
        <w:t>Crayons in bin; cards stacked; demo cup away.</w:t>
      </w:r>
    </w:p>
    <w:p>
      <w:pPr>
        <w:pStyle w:val="ListNumber"/>
      </w:pPr>
      <w:r>
        <w:t>Each child holds garden watering card.</w:t>
      </w:r>
    </w:p>
    <w:p>
      <w:pPr>
        <w:pStyle w:val="ListNumber"/>
      </w:pPr>
      <w:r>
        <w:t>At reunification, tell parent in one sentence:</w:t>
      </w:r>
    </w:p>
    <w:p>
      <w:pPr>
        <w:pStyle w:val="Quote"/>
      </w:pPr>
      <w:r>
        <w:t>Memory phrase: “Regular hearing and service to Śrīmad-Bhāgavatam steadies our family's devotion.” Home cue: After dinner dishes, say the phrase once and color one water drop.</w:t>
      </w:r>
    </w:p>
    <w:p>
      <w:pPr>
        <w:pStyle w:val="ListNumber"/>
      </w:pPr>
      <w:r>
        <w:t>Do not report private behavior struggles in front of other families.</w:t>
      </w:r>
    </w:p>
    <w:p>
      <w:pPr>
        <w:pStyle w:val="KUTUMBAMeta"/>
        <w:jc w:val="center"/>
      </w:pPr>
      <w:r>
        <w:t>◆  ◆  ◆</w:t>
      </w:r>
    </w:p>
    <w:p>
      <w:pPr>
        <w:pStyle w:val="Heading2"/>
      </w:pPr>
      <w:r>
        <w:t>Behavior redirects (quick reference)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Signal</w:t>
            </w:r>
          </w:p>
        </w:tc>
        <w:tc>
          <w:tcPr>
            <w:tcW w:type="dxa" w:w="3312"/>
            <w:shd w:fill="5B1933"/>
            <w:tcMar>
              <w:top w:w="100" w:type="dxa"/>
              <w:start w:w="120" w:type="dxa"/>
              <w:bottom w:w="100" w:type="dxa"/>
              <w:end w:w="120" w:type="dxa"/>
            </w:tcMar>
          </w:tcPr>
          <w:p>
            <w:r>
              <w:rPr>
                <w:b/>
                <w:color w:val="FFFFFF"/>
              </w:rPr>
              <w:t>Teacher line</w:t>
            </w:r>
          </w:p>
        </w:tc>
        <w:tc>
          <w:tcPr>
            <w:tcW w:type="dxa" w:w="3312"/>
            <w:shd w:fill="5B1933"/>
            <w:tcMar>
              <w:top w:w="100" w:type="dxa"/>
              <w:start w:w="120" w:type="dxa"/>
              <w:bottom w:w="100" w:type="dxa"/>
              <w:end w:w="120" w:type="dxa"/>
            </w:tcMar>
          </w:tcPr>
          <w:p>
            <w:r>
              <w:rPr>
                <w:b/>
                <w:color w:val="FFFFFF"/>
              </w:rPr>
              <w:t>Child action</w:t>
            </w:r>
          </w:p>
        </w:tc>
      </w:tr>
      <w:tr>
        <w:tc>
          <w:tcPr>
            <w:tcW w:type="dxa" w:w="3312"/>
            <w:tcMar>
              <w:top w:w="100" w:type="dxa"/>
              <w:start w:w="120" w:type="dxa"/>
              <w:bottom w:w="100" w:type="dxa"/>
              <w:end w:w="120" w:type="dxa"/>
            </w:tcMar>
            <w:vAlign w:val="top"/>
          </w:tcPr>
          <w:p>
            <w:r>
              <w:t>Running</w:t>
            </w:r>
          </w:p>
        </w:tc>
        <w:tc>
          <w:tcPr>
            <w:tcW w:type="dxa" w:w="3312"/>
            <w:tcMar>
              <w:top w:w="100" w:type="dxa"/>
              <w:start w:w="120" w:type="dxa"/>
              <w:bottom w:w="100" w:type="dxa"/>
              <w:end w:w="120" w:type="dxa"/>
            </w:tcMar>
            <w:vAlign w:val="top"/>
          </w:tcPr>
          <w:p>
            <w:r>
              <w:t>“Freeze bodies — garden walk.”</w:t>
            </w:r>
          </w:p>
        </w:tc>
        <w:tc>
          <w:tcPr>
            <w:tcW w:type="dxa" w:w="3312"/>
            <w:tcMar>
              <w:top w:w="100" w:type="dxa"/>
              <w:start w:w="120" w:type="dxa"/>
              <w:bottom w:w="100" w:type="dxa"/>
              <w:end w:w="120" w:type="dxa"/>
            </w:tcMar>
            <w:vAlign w:val="top"/>
          </w:tcPr>
          <w:p>
            <w:r>
              <w:t>Freeze, then walk</w:t>
            </w:r>
          </w:p>
        </w:tc>
      </w:tr>
      <w:tr>
        <w:tc>
          <w:tcPr>
            <w:tcW w:type="dxa" w:w="3312"/>
            <w:tcMar>
              <w:top w:w="100" w:type="dxa"/>
              <w:start w:w="120" w:type="dxa"/>
              <w:bottom w:w="100" w:type="dxa"/>
              <w:end w:w="120" w:type="dxa"/>
            </w:tcMar>
            <w:shd w:fill="FFF8E8"/>
            <w:vAlign w:val="top"/>
          </w:tcPr>
          <w:p>
            <w:r>
              <w:t>Snatching</w:t>
            </w:r>
          </w:p>
        </w:tc>
        <w:tc>
          <w:tcPr>
            <w:tcW w:type="dxa" w:w="3312"/>
            <w:tcMar>
              <w:top w:w="100" w:type="dxa"/>
              <w:start w:w="120" w:type="dxa"/>
              <w:bottom w:w="100" w:type="dxa"/>
              <w:end w:w="120" w:type="dxa"/>
            </w:tcMar>
            <w:shd w:fill="FFF8E8"/>
            <w:vAlign w:val="top"/>
          </w:tcPr>
          <w:p>
            <w:r>
              <w:t>“Kind hands water the garden.”</w:t>
            </w:r>
          </w:p>
        </w:tc>
        <w:tc>
          <w:tcPr>
            <w:tcW w:type="dxa" w:w="3312"/>
            <w:tcMar>
              <w:top w:w="100" w:type="dxa"/>
              <w:start w:w="120" w:type="dxa"/>
              <w:bottom w:w="100" w:type="dxa"/>
              <w:end w:w="120" w:type="dxa"/>
            </w:tcMar>
            <w:shd w:fill="FFF8E8"/>
            <w:vAlign w:val="top"/>
          </w:tcPr>
          <w:p>
            <w:r>
              <w:t>Hands to lap</w:t>
            </w:r>
          </w:p>
        </w:tc>
      </w:tr>
      <w:tr>
        <w:tc>
          <w:tcPr>
            <w:tcW w:type="dxa" w:w="3312"/>
            <w:tcMar>
              <w:top w:w="100" w:type="dxa"/>
              <w:start w:w="120" w:type="dxa"/>
              <w:bottom w:w="100" w:type="dxa"/>
              <w:end w:w="120" w:type="dxa"/>
            </w:tcMar>
            <w:vAlign w:val="top"/>
          </w:tcPr>
          <w:p>
            <w:r>
              <w:t>Loud shout</w:t>
            </w:r>
          </w:p>
        </w:tc>
        <w:tc>
          <w:tcPr>
            <w:tcW w:type="dxa" w:w="3312"/>
            <w:tcMar>
              <w:top w:w="100" w:type="dxa"/>
              <w:start w:w="120" w:type="dxa"/>
              <w:bottom w:w="100" w:type="dxa"/>
              <w:end w:w="120" w:type="dxa"/>
            </w:tcMar>
            <w:vAlign w:val="top"/>
          </w:tcPr>
          <w:p>
            <w:r>
              <w:t>“Soft garden voice.”</w:t>
            </w:r>
          </w:p>
        </w:tc>
        <w:tc>
          <w:tcPr>
            <w:tcW w:type="dxa" w:w="3312"/>
            <w:tcMar>
              <w:top w:w="100" w:type="dxa"/>
              <w:start w:w="120" w:type="dxa"/>
              <w:bottom w:w="100" w:type="dxa"/>
              <w:end w:w="120" w:type="dxa"/>
            </w:tcMar>
            <w:vAlign w:val="top"/>
          </w:tcPr>
          <w:p>
            <w:r>
              <w:t>Soft repeat</w:t>
            </w:r>
          </w:p>
        </w:tc>
      </w:tr>
      <w:tr>
        <w:tc>
          <w:tcPr>
            <w:tcW w:type="dxa" w:w="3312"/>
            <w:tcMar>
              <w:top w:w="100" w:type="dxa"/>
              <w:start w:w="120" w:type="dxa"/>
              <w:bottom w:w="100" w:type="dxa"/>
              <w:end w:w="120" w:type="dxa"/>
            </w:tcMar>
            <w:shd w:fill="FFF8E8"/>
            <w:vAlign w:val="top"/>
          </w:tcPr>
          <w:p>
            <w:r>
              <w:t>Shutdown</w:t>
            </w:r>
          </w:p>
        </w:tc>
        <w:tc>
          <w:tcPr>
            <w:tcW w:type="dxa" w:w="3312"/>
            <w:tcMar>
              <w:top w:w="100" w:type="dxa"/>
              <w:start w:w="120" w:type="dxa"/>
              <w:bottom w:w="100" w:type="dxa"/>
              <w:end w:w="120" w:type="dxa"/>
            </w:tcMar>
            <w:shd w:fill="FFF8E8"/>
            <w:vAlign w:val="top"/>
          </w:tcPr>
          <w:p>
            <w:r>
              <w:t>“Quiet reset is okay.”</w:t>
            </w:r>
          </w:p>
        </w:tc>
        <w:tc>
          <w:tcPr>
            <w:tcW w:type="dxa" w:w="3312"/>
            <w:tcMar>
              <w:top w:w="100" w:type="dxa"/>
              <w:start w:w="120" w:type="dxa"/>
              <w:bottom w:w="100" w:type="dxa"/>
              <w:end w:w="120" w:type="dxa"/>
            </w:tcMar>
            <w:shd w:fill="FFF8E8"/>
            <w:vAlign w:val="top"/>
          </w:tcPr>
          <w:p>
            <w:r>
              <w:t>Calm corner 60 sec</w:t>
            </w:r>
          </w:p>
        </w:tc>
      </w:tr>
    </w:tbl>
    <w:p>
      <w:pPr>
        <w:spacing w:after="40"/>
      </w:pPr>
    </w:p>
    <w:p>
      <w:pPr>
        <w:pStyle w:val="Heading2"/>
      </w:pPr>
      <w:r>
        <w:t>Backup low-prep (if craft fails or energy crashes)</w:t>
      </w:r>
    </w:p>
    <w:p>
      <w:pPr>
        <w:pStyle w:val="ListNumber"/>
      </w:pPr>
      <w:r>
        <w:t>Sit in a circle with soft toss object.</w:t>
      </w:r>
    </w:p>
    <w:p>
      <w:pPr>
        <w:pStyle w:val="ListNumber"/>
      </w:pPr>
      <w:r>
        <w:t>Child catches, says one word: “hear,” “practice,” “kind,” or “Kṛṣṇa,” then tosses to next.</w:t>
      </w:r>
    </w:p>
    <w:p>
      <w:pPr>
        <w:pStyle w:val="ListNumber"/>
      </w:pPr>
      <w:r>
        <w:t>End with three echoes of the memory phrase.</w:t>
      </w:r>
    </w:p>
    <w:p>
      <w:pPr>
        <w:pStyle w:val="ListNumber"/>
      </w:pPr>
      <w:r>
        <w:t>Optional: pass the seed cup; each child “waters” it once with a finger tap.</w:t>
      </w:r>
    </w:p>
    <w:p>
      <w:pPr>
        <w:pStyle w:val="Heading2"/>
      </w:pPr>
      <w:r>
        <w:t>What success looks like</w:t>
      </w:r>
    </w:p>
    <w:p>
      <w:pPr>
        <w:pStyle w:val="ListBullet"/>
      </w:pPr>
      <w:r>
        <w:t>Child can point to Hear and Practice on the seed.</w:t>
      </w:r>
    </w:p>
    <w:p>
      <w:pPr>
        <w:pStyle w:val="ListBullet"/>
      </w:pPr>
      <w:r>
        <w:t>Child can echo (or finish) the memory phrase.</w:t>
      </w:r>
    </w:p>
    <w:p>
      <w:pPr>
        <w:pStyle w:val="ListBullet"/>
      </w:pPr>
      <w:r>
        <w:t>Child can name one home watering moment.</w:t>
      </w:r>
    </w:p>
    <w:p>
      <w:pPr>
        <w:pStyle w:val="Heading2"/>
      </w:pPr>
      <w:r>
        <w:t>Boundaries</w:t>
      </w:r>
    </w:p>
    <w:p>
      <w:pPr>
        <w:pStyle w:val="ListBullet"/>
      </w:pPr>
      <w:r>
        <w:t>Snack/water only happens in main schedule (3:30), not as a track bribe.</w:t>
      </w:r>
    </w:p>
    <w:p>
      <w:pPr>
        <w:pStyle w:val="ListBullet"/>
      </w:pPr>
      <w:r>
        <w:t>No weekly meal language.</w:t>
      </w:r>
    </w:p>
    <w:p>
      <w:pPr>
        <w:pStyle w:val="ListBullet"/>
      </w:pPr>
      <w:r>
        <w:t>No fabricated approval stickers implying temple certification.</w:t>
      </w:r>
    </w:p>
    <w:p>
      <w:pPr>
        <w:pStyle w:val="ListBullet"/>
      </w:pPr>
      <w:r>
        <w:t>Privacy: no forced confession of “we never practice at home.”</w:t>
      </w:r>
    </w:p>
    <w:p>
      <w:pPr>
        <w:pStyle w:val="Heading1"/>
      </w:pPr>
      <w:r>
        <w:t>TEACHER-ONLY: Older run sheet</w:t>
      </w:r>
    </w:p>
    <w:p>
      <w:r>
        <w:rPr>
          <w:b/>
        </w:rPr>
        <w:t>Week:</w:t>
      </w:r>
      <w:r>
        <w:t xml:space="preserve"> What Is KUTUMBA and Why Are We Here? </w:t>
      </w:r>
      <w:r>
        <w:rPr>
          <w:b/>
        </w:rPr>
        <w:t>Primary:</w:t>
      </w:r>
      <w:r>
        <w:t xml:space="preserve"> ŚB 1.2.18 — https://vedabase.io/en/library/sb/1/2/18/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KUTUMBAMeta"/>
        <w:jc w:val="center"/>
      </w:pPr>
      <w:r>
        <w:t>◆  ◆  ◆</w:t>
      </w:r>
    </w:p>
    <w:p>
      <w:pPr>
        <w:pStyle w:val="Heading2"/>
      </w:pPr>
      <w:r>
        <w:t>Objective</w:t>
      </w:r>
    </w:p>
    <w:p>
      <w:r>
        <w:t xml:space="preserve">Students observe ŚB 1.2.18, explain that </w:t>
      </w:r>
      <w:r>
        <w:rPr>
          <w:b/>
        </w:rPr>
        <w:t>protected weekly hearing plus home practice</w:t>
      </w:r>
      <w:r>
        <w:t xml:space="preserve"> create a path for family growth, map a Hear → Practice → Steadier devotion diagram, and contribute one project sentence answering: </w:t>
      </w:r>
      <w:r>
        <w:rPr>
          <w:b/>
        </w:rPr>
        <w:t>Why are we committing as a family?</w:t>
      </w:r>
    </w:p>
    <w:p>
      <w:pPr>
        <w:pStyle w:val="Heading2"/>
      </w:pPr>
      <w:r>
        <w:t>Exact memory phrase</w:t>
      </w:r>
    </w:p>
    <w:p>
      <w:pPr>
        <w:pStyle w:val="Quote"/>
      </w:pPr>
      <w:r>
        <w:t>Regular hearing and service to Śrīmad-Bhāgavatam steadies our family's devotion.</w:t>
      </w:r>
    </w:p>
    <w:p>
      <w:r>
        <w:rPr>
          <w:b/>
        </w:rPr>
        <w:t>Short echo:</w:t>
      </w:r>
      <w:r>
        <w:t xml:space="preserve"> Hear + Practice steadies us.</w:t>
      </w:r>
    </w:p>
    <w:p>
      <w:pPr>
        <w:pStyle w:val="Heading2"/>
      </w:pPr>
      <w:r>
        <w:t>Teacher background</w:t>
      </w:r>
    </w:p>
    <w:p>
      <w:pPr>
        <w:pStyle w:val="ListBullet"/>
      </w:pPr>
      <w:r>
        <w:rPr>
          <w:b/>
        </w:rPr>
        <w:t>KUTUMBA teaching meaning:</w:t>
      </w:r>
      <w:r>
        <w:t xml:space="preserve"> When we regularly hear and serve the Bhāgavata (book and devotee association), troubles in the heart are cleared and steady devotion to the Lord becomes established. (Label as KUTUMBA teaching meaning — not as BBT translation.)</w:t>
      </w:r>
    </w:p>
    <w:p>
      <w:pPr>
        <w:pStyle w:val="ListBullet"/>
      </w:pPr>
      <w:r>
        <w:rPr>
          <w:b/>
        </w:rPr>
        <w:t>Supporting frames (one sentence each):</w:t>
      </w:r>
      <w:r>
        <w:t xml:space="preserve"> ŚB 1.2.17 — the Lord in the heart cleanses the faithful hearer; ŚB 1.2.19 — passion and ignorance can recede as hearing nourishes goodness; ŚB 1.1.4 — sages assemble to inquire about duty (pattern of protected hearing).</w:t>
      </w:r>
    </w:p>
    <w:p>
      <w:pPr>
        <w:pStyle w:val="ListBullet"/>
      </w:pPr>
      <w:r>
        <w:rPr>
          <w:b/>
        </w:rPr>
        <w:t>Block:</w:t>
      </w:r>
      <w:r>
        <w:t xml:space="preserve"> “Attendance alone equals growth” and “Alone is always holier than association.”</w:t>
      </w:r>
    </w:p>
    <w:p>
      <w:pPr>
        <w:pStyle w:val="ListBullet"/>
      </w:pPr>
      <w:r>
        <w:rPr>
          <w:b/>
        </w:rPr>
        <w:t>Scope:</w:t>
      </w:r>
      <w:r>
        <w:t xml:space="preserve"> Do not teach soul ontology (W2–W3) or rarity scare (W4) tonight.</w:t>
      </w:r>
    </w:p>
    <w:p>
      <w:pPr>
        <w:pStyle w:val="Heading2"/>
      </w:pPr>
      <w:r>
        <w:t>Materials</w:t>
      </w:r>
    </w:p>
    <w:p>
      <w:pPr>
        <w:pStyle w:val="ListBullet"/>
      </w:pPr>
      <w:r>
        <w:t>Printed verse strip: Devanāgarī + IAST + KUTUMBA teaching meaning</w:t>
      </w:r>
    </w:p>
    <w:p>
      <w:pPr>
        <w:pStyle w:val="ListBullet"/>
      </w:pPr>
      <w:r>
        <w:t xml:space="preserve">Worksheet copies from </w:t>
      </w:r>
      <w:r>
        <w:rPr>
          <w:rFonts w:ascii="Consolas" w:hAnsi="Consolas"/>
          <w:color w:val="7A263A"/>
          <w:sz w:val="18"/>
        </w:rPr>
        <w:t>activities/OLDER-ACTIVITY-PACK.md</w:t>
      </w:r>
    </w:p>
    <w:p>
      <w:pPr>
        <w:pStyle w:val="ListBullet"/>
      </w:pPr>
      <w:r>
        <w:t>Scenario cards (Saturday-only family; home-only / avoid association; ranking siblings — fictional)</w:t>
      </w:r>
    </w:p>
    <w:p>
      <w:pPr>
        <w:pStyle w:val="ListBullet"/>
      </w:pPr>
      <w:r>
        <w:t>Hear–Practice–Steady diagram sheet</w:t>
      </w:r>
    </w:p>
    <w:p>
      <w:pPr>
        <w:pStyle w:val="ListBullet"/>
      </w:pPr>
      <w:r>
        <w:t xml:space="preserve">Pencils; timer; answer key </w:t>
      </w:r>
      <w:r>
        <w:rPr>
          <w:rFonts w:ascii="Consolas" w:hAnsi="Consolas"/>
          <w:color w:val="7A263A"/>
          <w:sz w:val="18"/>
        </w:rPr>
        <w:t>activities/OLDER-ANSWER-KEY.md</w:t>
      </w:r>
      <w:r>
        <w:t xml:space="preserve"> for teacher only</w:t>
      </w:r>
    </w:p>
    <w:p>
      <w:pPr>
        <w:pStyle w:val="ListBullet"/>
      </w:pPr>
      <w:r>
        <w:t>Project contribution half-sheets</w:t>
      </w:r>
    </w:p>
    <w:p>
      <w:pPr>
        <w:pStyle w:val="ListBullet"/>
      </w:pPr>
      <w:r>
        <w:t>Matching term cards (optional cut set)</w:t>
      </w:r>
    </w:p>
    <w:p>
      <w:pPr>
        <w:pStyle w:val="KUTUMBAMeta"/>
        <w:jc w:val="center"/>
      </w:pPr>
      <w:r>
        <w:t>◆  ◆  ◆</w:t>
      </w:r>
    </w:p>
    <w:p>
      <w:pPr>
        <w:pStyle w:val="Heading2"/>
      </w:pPr>
      <w:r>
        <w:t>Minute-by-minute plan</w:t>
      </w:r>
    </w:p>
    <w:p>
      <w:pPr>
        <w:pStyle w:val="Heading3"/>
      </w:pPr>
      <w:r>
        <w:t>0–5 min — Settle and hook</w:t>
      </w:r>
    </w:p>
    <w:p>
      <w:pPr>
        <w:pStyle w:val="ListNumber"/>
      </w:pPr>
      <w:r>
        <w:t>Welcome; feet on floor.</w:t>
      </w:r>
    </w:p>
    <w:p>
      <w:pPr>
        <w:pStyle w:val="ListNumber"/>
      </w:pPr>
      <w:r>
        <w:t>Hook: “Which is more true — ‘Coming on Saturday is enough’ or ‘Staying home alone is always safer’?” Let two volunteers answer; hold both as incomplete.</w:t>
      </w:r>
    </w:p>
    <w:p>
      <w:pPr>
        <w:pStyle w:val="ListNumber"/>
      </w:pPr>
      <w:r>
        <w:t>State essential question: Why are we committing as a family?</w:t>
      </w:r>
    </w:p>
    <w:p>
      <w:pPr>
        <w:pStyle w:val="Heading3"/>
      </w:pPr>
      <w:r>
        <w:t>5–14 min — Primary text observation (ŚB 1.2.18)</w:t>
      </w:r>
    </w:p>
    <w:p>
      <w:pPr>
        <w:pStyle w:val="ListNumber"/>
      </w:pPr>
      <w:r>
        <w:t>Display verse; read IAST aloud together once; teacher reads Devanāgarī slowly or plays authorized audio if available.</w:t>
      </w:r>
    </w:p>
    <w:p>
      <w:pPr>
        <w:pStyle w:val="ListNumber"/>
      </w:pPr>
      <w:r>
        <w:t xml:space="preserve">Students underline three idea-words in the teaching meaning: </w:t>
      </w:r>
      <w:r>
        <w:rPr>
          <w:b/>
        </w:rPr>
        <w:t>regularly</w:t>
      </w:r>
      <w:r>
        <w:t xml:space="preserve">, </w:t>
      </w:r>
      <w:r>
        <w:rPr>
          <w:b/>
        </w:rPr>
        <w:t>hear/serve</w:t>
      </w:r>
      <w:r>
        <w:t xml:space="preserve">, </w:t>
      </w:r>
      <w:r>
        <w:rPr>
          <w:b/>
        </w:rPr>
        <w:t>steady devotion</w:t>
      </w:r>
      <w:r>
        <w:t>.</w:t>
      </w:r>
    </w:p>
    <w:p>
      <w:pPr>
        <w:pStyle w:val="ListNumber"/>
      </w:pPr>
      <w:r>
        <w:t>Observation prompts (write short answers):</w:t>
      </w:r>
    </w:p>
    <w:p>
      <w:pPr>
        <w:pStyle w:val="ListBullet2"/>
      </w:pPr>
      <w:r>
        <w:t>What kind of service does the verse point to? (Bhāgavata — book and devotee association)</w:t>
      </w:r>
    </w:p>
    <w:p>
      <w:pPr>
        <w:pStyle w:val="ListBullet2"/>
      </w:pPr>
      <w:r>
        <w:t>What happens as troubles in the heart are cleared? (steady devotion becomes established)</w:t>
      </w:r>
    </w:p>
    <w:p>
      <w:pPr>
        <w:pStyle w:val="ListBullet2"/>
      </w:pPr>
      <w:r>
        <w:t xml:space="preserve">What does this verse </w:t>
      </w:r>
      <w:r>
        <w:rPr>
          <w:b/>
        </w:rPr>
        <w:t>not</w:t>
      </w:r>
      <w:r>
        <w:t xml:space="preserve"> say? (that one Saturday replaces home practice; that science proves bhakti)</w:t>
      </w:r>
    </w:p>
    <w:p>
      <w:pPr>
        <w:pStyle w:val="ListNumber"/>
      </w:pPr>
      <w:r>
        <w:t>Add one-sentence bridges:</w:t>
      </w:r>
    </w:p>
    <w:p>
      <w:pPr>
        <w:pStyle w:val="ListBullet2"/>
      </w:pPr>
      <w:r>
        <w:t>ŚB 1.2.17 — hearing with faith invites cleansing in the heart.</w:t>
      </w:r>
    </w:p>
    <w:p>
      <w:pPr>
        <w:pStyle w:val="ListBullet2"/>
      </w:pPr>
      <w:r>
        <w:t>ŚB 1.1.4 — protected inquiry in association is a model pattern, not a claim that our room equals that forest.</w:t>
      </w:r>
    </w:p>
    <w:p>
      <w:pPr>
        <w:pStyle w:val="ListNumber"/>
      </w:pPr>
      <w:r>
        <w:t>Paraphrase only; no invented dialogue.</w:t>
      </w:r>
    </w:p>
    <w:p>
      <w:pPr>
        <w:pStyle w:val="Heading3"/>
      </w:pPr>
      <w:r>
        <w:t>14–22 min — Worksheet questions</w:t>
      </w:r>
    </w:p>
    <w:p>
      <w:r>
        <w:t>Students complete Section A of the older activity pack:</w:t>
      </w:r>
    </w:p>
    <w:p>
      <w:pPr>
        <w:pStyle w:val="ListNumber"/>
      </w:pPr>
      <w:r>
        <w:t>Restate KUTUMBA teaching meaning in their own words (one sentence).</w:t>
      </w:r>
    </w:p>
    <w:p>
      <w:pPr>
        <w:pStyle w:val="ListNumber"/>
      </w:pPr>
      <w:r>
        <w:t>Name two halves of family growth (weekly hearing + home practice).</w:t>
      </w:r>
    </w:p>
    <w:p>
      <w:pPr>
        <w:pStyle w:val="ListNumber"/>
      </w:pPr>
      <w:r>
        <w:t>Why is “attendance alone” incomplete?</w:t>
      </w:r>
    </w:p>
    <w:p>
      <w:pPr>
        <w:pStyle w:val="ListNumber"/>
      </w:pPr>
      <w:r>
        <w:t>Why is “alone is always holier” incomplete?</w:t>
      </w:r>
    </w:p>
    <w:p>
      <w:pPr>
        <w:pStyle w:val="ListNumber"/>
      </w:pPr>
      <w:r>
        <w:t>Write one 5–15 minute if-then home cue for this week.</w:t>
      </w:r>
    </w:p>
    <w:p>
      <w:r>
        <w:t xml:space="preserve">Teacher circulates; use </w:t>
      </w:r>
      <w:r>
        <w:rPr>
          <w:rFonts w:ascii="Consolas" w:hAnsi="Consolas"/>
          <w:color w:val="7A263A"/>
          <w:sz w:val="18"/>
        </w:rPr>
        <w:t>OLDER-ANSWER-KEY.md</w:t>
      </w:r>
      <w:r>
        <w:t xml:space="preserve"> for expected directions (not for grading ranks).</w:t>
      </w:r>
    </w:p>
    <w:p>
      <w:pPr>
        <w:pStyle w:val="Heading3"/>
      </w:pPr>
      <w:r>
        <w:t>22–28 min — Scenario cards (small groups)</w:t>
      </w:r>
    </w:p>
    <w:p>
      <w:r>
        <w:t>Each group gets one fictional card:</w:t>
      </w:r>
    </w:p>
    <w:p>
      <w:r>
        <w:rPr>
          <w:b/>
        </w:rPr>
        <w:t>Card A — Saturday-only:</w:t>
      </w:r>
      <w:r>
        <w:t xml:space="preserve"> Never miss 2:00–4:00; zero weekday cue. Mistaken line: “Attendance equals growth.” </w:t>
      </w:r>
      <w:r>
        <w:rPr>
          <w:b/>
        </w:rPr>
        <w:t>Card B — Home-only avoiders:</w:t>
      </w:r>
      <w:r>
        <w:t xml:space="preserve"> Chant at home; avoid association because awkward. Mistaken line: “Alone is always safer.” </w:t>
      </w:r>
      <w:r>
        <w:rPr>
          <w:b/>
        </w:rPr>
        <w:t>Card C — Ranking hallway:</w:t>
      </w:r>
      <w:r>
        <w:t xml:space="preserve"> Parent compares children’s seriousness aloud. Mistaken line: “Ranking produces devotion.”</w:t>
      </w:r>
    </w:p>
    <w:p>
      <w:r>
        <w:t>For each card, group writes:</w:t>
      </w:r>
    </w:p>
    <w:p>
      <w:pPr>
        <w:pStyle w:val="ListNumber"/>
      </w:pPr>
      <w:r>
        <w:t>What is the mistaken conclusion?</w:t>
      </w:r>
    </w:p>
    <w:p>
      <w:pPr>
        <w:pStyle w:val="ListNumber"/>
      </w:pPr>
      <w:r>
        <w:t>What compassionate response keeps dignity?</w:t>
      </w:r>
    </w:p>
    <w:p>
      <w:pPr>
        <w:pStyle w:val="ListNumber"/>
      </w:pPr>
      <w:r>
        <w:t>What is one better family action (no shame, no ranking)?</w:t>
      </w:r>
    </w:p>
    <w:p>
      <w:r>
        <w:t>Share one insight per group (60 seconds).</w:t>
      </w:r>
    </w:p>
    <w:p>
      <w:pPr>
        <w:pStyle w:val="Heading3"/>
      </w:pPr>
      <w:r>
        <w:t>28–33 min — Puzzle / game: Hear–Practice Match</w:t>
      </w:r>
    </w:p>
    <w:p>
      <w:pPr>
        <w:pStyle w:val="ListNumber"/>
      </w:pPr>
      <w:r>
        <w:t>Place four term cards face down: Hearing · Saṅkalpa · Charter · Association.</w:t>
      </w:r>
    </w:p>
    <w:p>
      <w:pPr>
        <w:pStyle w:val="ListNumber"/>
      </w:pPr>
      <w:r>
        <w:t>Place four meaning cards: Regular Bhāgavata reception · Specific practice intention · KUTUMBA purposes/boundaries · Learning with devotees.</w:t>
      </w:r>
    </w:p>
    <w:p>
      <w:pPr>
        <w:pStyle w:val="ListNumber"/>
      </w:pPr>
      <w:r>
        <w:t>Teams race (quietly) to match all four; then one student explains why Hearing and Association both matter for ŚB 1.2.18.</w:t>
      </w:r>
    </w:p>
    <w:p>
      <w:pPr>
        <w:pStyle w:val="ListNumber"/>
      </w:pPr>
      <w:r>
        <w:t>Keep energy respectful; no mocking wrong matches.</w:t>
      </w:r>
    </w:p>
    <w:p>
      <w:pPr>
        <w:pStyle w:val="Heading3"/>
      </w:pPr>
      <w:r>
        <w:t>33–37 min — Diagram task</w:t>
      </w:r>
    </w:p>
    <w:p>
      <w:r>
        <w:t>On the Hear–Practice–Steady sheet, students fill:</w:t>
      </w:r>
    </w:p>
    <w:p>
      <w:r>
        <w:rPr>
          <w:rFonts w:ascii="Consolas" w:hAnsi="Consolas"/>
          <w:color w:val="7A263A"/>
          <w:sz w:val="18"/>
        </w:rPr>
        <w:t>Protected Saturday hearing → Tiny home practice → Steadier family devotion</w:t>
      </w:r>
    </w:p>
    <w:p>
      <w:r>
        <w:t xml:space="preserve">Draw one arrow labeled </w:t>
      </w:r>
      <w:r>
        <w:rPr>
          <w:b/>
        </w:rPr>
        <w:t>ŚB 1.2.18</w:t>
      </w:r>
      <w:r>
        <w:t xml:space="preserve"> into the Steady box. Write the short echo inside it.</w:t>
      </w:r>
    </w:p>
    <w:p>
      <w:pPr>
        <w:pStyle w:val="Heading3"/>
      </w:pPr>
      <w:r>
        <w:t>37–40 min — Project contribution + reflection + handoff</w:t>
      </w:r>
    </w:p>
    <w:p>
      <w:pPr>
        <w:pStyle w:val="ListNumber"/>
      </w:pPr>
      <w:r>
        <w:t>Complete project half-sheet: “We are committing as a family because _______________.”</w:t>
      </w:r>
    </w:p>
    <w:p>
      <w:pPr>
        <w:pStyle w:val="ListNumber"/>
      </w:pPr>
      <w:r>
        <w:t>Reflection (one sentence): Where might I confuse a garden analogy with the verse itself?</w:t>
      </w:r>
    </w:p>
    <w:p>
      <w:pPr>
        <w:pStyle w:val="ListNumber"/>
      </w:pPr>
      <w:r>
        <w:t>Cleanup; bring sheets to reunification.</w:t>
      </w:r>
    </w:p>
    <w:p>
      <w:pPr>
        <w:pStyle w:val="ListNumber"/>
      </w:pPr>
      <w:r>
        <w:t>Parent handoff line: Home practice is After dinner dishes → say memory phrase once (5 minutes counts).</w:t>
      </w:r>
    </w:p>
    <w:p>
      <w:pPr>
        <w:pStyle w:val="Heading2"/>
      </w:pPr>
      <w:r>
        <w:t>Extension (if group finishes early)</w:t>
      </w:r>
    </w:p>
    <w:p>
      <w:r>
        <w:t>Compare ŚB 1.2.19 (passion/ignorance receding through hearing) with the garden image: roots grow before flowers. Still no soul ontology dump.</w:t>
      </w:r>
    </w:p>
    <w:p>
      <w:pPr>
        <w:pStyle w:val="Heading2"/>
      </w:pPr>
      <w:r>
        <w:t>Answer key pointer</w:t>
      </w:r>
    </w:p>
    <w:p>
      <w:r>
        <w:t xml:space="preserve">Teacher-facing expected answers: </w:t>
      </w:r>
      <w:r>
        <w:rPr>
          <w:rFonts w:ascii="Consolas" w:hAnsi="Consolas"/>
          <w:color w:val="7A263A"/>
          <w:sz w:val="18"/>
        </w:rPr>
        <w:t>activities/OLDER-ANSWER-KEY.md</w:t>
      </w:r>
      <w:r>
        <w:t>. Do not distribute the key to students during the first attempt.</w:t>
      </w:r>
    </w:p>
    <w:p>
      <w:pPr>
        <w:pStyle w:val="Heading2"/>
      </w:pPr>
      <w:r>
        <w:t>Behavior and privacy</w:t>
      </w:r>
    </w:p>
    <w:p>
      <w:pPr>
        <w:pStyle w:val="ListBullet"/>
      </w:pPr>
      <w:r>
        <w:t>Redirect side talk: “Return to your diagram — Steady box only.”</w:t>
      </w:r>
    </w:p>
    <w:p>
      <w:pPr>
        <w:pStyle w:val="ListBullet"/>
      </w:pPr>
      <w:r>
        <w:t>No forced confession of real family attendance gaps.</w:t>
      </w:r>
    </w:p>
    <w:p>
      <w:pPr>
        <w:pStyle w:val="ListBullet"/>
      </w:pPr>
      <w:r>
        <w:t>No ranking scores aloud.</w:t>
      </w:r>
    </w:p>
    <w:p>
      <w:pPr>
        <w:pStyle w:val="ListBullet"/>
      </w:pPr>
      <w:r>
        <w:t>Parents onsite; snack/water belongs to main schedule, not track rewards framed as a meal.</w:t>
      </w: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C1-W1  |  weekly-print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eastAsia="Calibr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b/>
      <w:color w:val="E59B24"/>
      <w:sz w:val="18"/>
    </w:rPr>
  </w:style>
  <w:style w:type="paragraph" w:customStyle="1" w:styleId="KUTUMBAMeta">
    <w:name w:val="KUTUMBA Meta"/>
    <w:pPr>
      <w:spacing w:after="80"/>
    </w:pPr>
    <w:rPr>
      <w:rFonts w:ascii="Segoe UI" w:hAnsi="Segoe UI" w:eastAsia="Segoe UI"/>
      <w:b w:val="0"/>
      <w:color w:val="4F7C78"/>
      <w:sz w:val="18"/>
    </w:rPr>
  </w:style>
  <w:style w:type="paragraph" w:customStyle="1" w:styleId="KUTUMBACalloutLabel">
    <w:name w:val="KUTUMBA Callout Label"/>
    <w:pPr>
      <w:spacing w:after="80"/>
    </w:pPr>
    <w:rPr>
      <w:rFonts w:ascii="Segoe UI" w:hAnsi="Segoe UI" w:eastAsia="Segoe UI"/>
      <w:b/>
      <w:color w:val="FFFFFF"/>
      <w:sz w:val="17"/>
    </w:rPr>
  </w:style>
  <w:style w:type="paragraph" w:customStyle="1" w:styleId="KUTUMBACalloutBody">
    <w:name w:val="KUTUMBA Callout Body"/>
    <w:pPr>
      <w:spacing w:after="80"/>
    </w:pPr>
    <w:rPr>
      <w:rFonts w:ascii="Calibri" w:hAnsi="Calibri" w:eastAsia="Calibri"/>
      <w:b w:val="0"/>
      <w:color w:val="2E3033"/>
      <w:sz w:val="20"/>
    </w:rPr>
  </w:style>
  <w:style w:type="paragraph" w:customStyle="1" w:styleId="KUTUMBAVerseDevanagari">
    <w:name w:val="KUTUMBA Verse Devanagari"/>
    <w:pPr>
      <w:keepLines/>
      <w:spacing w:after="80"/>
    </w:pPr>
    <w:rPr>
      <w:rFonts w:ascii="Nirmala UI" w:hAnsi="Nirmala UI" w:eastAsia="Nirmala UI"/>
      <w:b w:val="0"/>
      <w:color w:val="5B1933"/>
      <w:sz w:val="30"/>
    </w:rPr>
  </w:style>
  <w:style w:type="paragraph" w:customStyle="1" w:styleId="KUTUMBAVerseIAST">
    <w:name w:val="KUTUMBA Verse IAST"/>
    <w:pPr>
      <w:keepLines/>
      <w:spacing w:after="80"/>
    </w:pPr>
    <w:rPr>
      <w:rFonts w:ascii="Calibri" w:hAnsi="Calibri" w:eastAsia="Calibri"/>
      <w:b w:val="0"/>
      <w:color w:val="4F7C78"/>
      <w:sz w:val="21"/>
    </w:rPr>
  </w:style>
  <w:style w:type="paragraph" w:customStyle="1" w:styleId="KUTUMBARights">
    <w:name w:val="KUTUMBA Rights"/>
    <w:pPr>
      <w:spacing w:after="80"/>
    </w:pPr>
    <w:rPr>
      <w:rFonts w:ascii="Segoe UI" w:hAnsi="Segoe UI" w:eastAsia="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