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8E8"/>
  <w:body>
    <w:p>
      <w:pPr>
        <w:spacing w:before="936"/>
        <w:jc w:val="center"/>
      </w:pPr>
      <w:r>
        <w:rPr>
          <w:rFonts w:ascii="Segoe UI" w:hAnsi="Segoe UI" w:eastAsia="Segoe UI" w:cs="Segoe UI"/>
          <w:b/>
          <w:color w:val="E59B24"/>
          <w:sz w:val="36"/>
        </w:rPr>
        <w:t>KUTUMBA</w:t>
      </w:r>
    </w:p>
    <w:tbl>
      <w:tblPr>
        <w:tblW w:type="auto" w:w="0"/>
        <w:jc w:val="center"/>
        <w:tblLayout w:type="fixed"/>
        <w:tblLook w:firstColumn="1" w:firstRow="1" w:lastColumn="0" w:lastRow="0" w:noHBand="0" w:noVBand="1" w:val="04A0"/>
      </w:tblPr>
      <w:tblGrid>
        <w:gridCol w:w="2880"/>
      </w:tblGrid>
      <w:tr>
        <w:tc>
          <w:tcPr>
            <w:tcW w:type="dxa" w:w="9936"/>
            <w:shd w:fill="5B1933"/>
          </w:tcPr>
          <w:p>
            <w:r/>
          </w:p>
        </w:tc>
      </w:tr>
    </w:tbl>
    <w:p>
      <w:pPr>
        <w:pStyle w:val="Title"/>
        <w:spacing w:before="792"/>
        <w:jc w:val="center"/>
      </w:pPr>
      <w:r>
        <w:t>C1-W2 Weekly Print Packet</w:t>
      </w:r>
    </w:p>
    <w:p>
      <w:pPr>
        <w:pStyle w:val="Subtitle"/>
        <w:jc w:val="center"/>
      </w:pPr>
      <w:r>
        <w:t>Families Growing in Krishna Consciousness</w:t>
      </w:r>
    </w:p>
    <w:p>
      <w:pPr>
        <w:spacing w:before="360"/>
        <w:jc w:val="center"/>
      </w:pPr>
      <w:r>
        <w:rPr>
          <w:rFonts w:ascii="Cambria" w:hAnsi="Cambria" w:eastAsia="Cambria" w:cs="Cambria"/>
          <w:b/>
          <w:color w:val="7A263A"/>
          <w:sz w:val="24"/>
        </w:rPr>
        <w:t>C1-W2</w:t>
      </w:r>
    </w:p>
    <w:tbl>
      <w:tblPr>
        <w:tblW w:type="auto" w:w="0"/>
        <w:jc w:val="center"/>
        <w:tblLayout w:type="fixed"/>
        <w:tblLook w:firstColumn="1" w:firstRow="1" w:lastColumn="0" w:lastRow="0" w:noHBand="0" w:noVBand="1" w:val="04A0"/>
        <w:tblBorders>
          <w:top w:val="single" w:sz="5" w:color="E3CA91"/>
          <w:left w:val="single" w:sz="5" w:color="E3CA91"/>
          <w:bottom w:val="single" w:sz="5" w:color="E3CA91"/>
          <w:right w:val="single" w:sz="5" w:color="E3CA91"/>
          <w:insideH w:val="single" w:sz="5" w:color="E3CA91"/>
          <w:insideV w:val="single" w:sz="5" w:color="E3CA91"/>
        </w:tblBorders>
      </w:tblPr>
      <w:tblGrid>
        <w:gridCol w:w="8352"/>
      </w:tblGrid>
      <w:tr>
        <w:tc>
          <w:tcPr>
            <w:tcW w:type="dxa" w:w="9936"/>
            <w:tcMar>
              <w:top w:w="130" w:type="dxa"/>
              <w:start w:w="180" w:type="dxa"/>
              <w:bottom w:w="130" w:type="dxa"/>
              <w:end w:w="180" w:type="dxa"/>
            </w:tcMar>
            <w:vAlign w:val="center"/>
            <w:shd w:fill="F8E8BF"/>
          </w:tcPr>
          <w:p>
            <w:pPr>
              <w:jc w:val="center"/>
            </w:pPr>
            <w:r>
              <w:rPr>
                <w:b/>
              </w:rPr>
              <w:t>V12  •  Families Growing in Krishna Consciousness</w:t>
              <w:br/>
              <w:t>Program Director: Swapnil Patil</w:t>
            </w:r>
          </w:p>
        </w:tc>
      </w:tr>
      <w:tr>
        <w:tc>
          <w:tcPr>
            <w:tcW w:type="dxa" w:w="9936"/>
            <w:tcMar>
              <w:top w:w="130" w:type="dxa"/>
              <w:start w:w="180" w:type="dxa"/>
              <w:bottom w:w="130" w:type="dxa"/>
              <w:end w:w="180" w:type="dxa"/>
            </w:tcMar>
            <w:vAlign w:val="center"/>
            <w:shd w:fill="E4F0ED"/>
          </w:tcPr>
          <w:p>
            <w:pPr>
              <w:jc w:val="center"/>
            </w:pPr>
            <w:r>
              <w:rPr>
                <w:i/>
                <w:color w:val="5B1933"/>
              </w:rPr>
              <w:t>Internal founding-cohort teaching material — human/temple review EXTERNAL_OPEN</w:t>
            </w:r>
          </w:p>
        </w:tc>
      </w:tr>
    </w:tbl>
    <w:p>
      <w:pPr>
        <w:spacing w:before="1440"/>
        <w:jc w:val="center"/>
      </w:pPr>
      <w:r>
        <w:rPr>
          <w:rFonts w:ascii="Segoe UI" w:hAnsi="Segoe UI" w:eastAsia="Segoe UI" w:cs="Segoe UI"/>
          <w:color w:val="4F7C78"/>
          <w:sz w:val="18"/>
        </w:rPr>
        <w:t>KUTUMBA  |  Families Growing in Krishna Consciousness</w:t>
      </w:r>
    </w:p>
    <w:p>
      <w:r>
        <w:br w:type="page"/>
      </w:r>
    </w:p>
    <w:tbl>
      <w:tblPr>
        <w:tblW w:type="auto" w:w="0"/>
        <w:jc w:val="center"/>
        <w:tblLayout w:type="fixed"/>
        <w:tblLook w:firstColumn="1" w:firstRow="1" w:lastColumn="0" w:lastRow="0" w:noHBand="0" w:noVBand="1" w:val="04A0"/>
        <w:tblBorders>
          <w:top w:val="single" w:sz="8" w:color="4F7C78"/>
          <w:left w:val="single" w:sz="8" w:color="4F7C78"/>
          <w:bottom w:val="single" w:sz="8" w:color="4F7C78"/>
          <w:right w:val="single" w:sz="8" w:color="4F7C78"/>
          <w:insideH w:val="single" w:sz="8" w:color="4F7C78"/>
          <w:insideV w:val="single" w:sz="8" w:color="4F7C78"/>
        </w:tblBorders>
      </w:tblPr>
      <w:tblGrid>
        <w:gridCol w:w="1944"/>
        <w:gridCol w:w="8136"/>
      </w:tblGrid>
      <w:tr>
        <w:tc>
          <w:tcPr>
            <w:tcW w:type="dxa" w:w="4968"/>
            <w:shd w:fill="4F7C78"/>
            <w:tcMar>
              <w:top w:w="130" w:type="dxa"/>
              <w:start w:w="140" w:type="dxa"/>
              <w:bottom w:w="130" w:type="dxa"/>
              <w:end w:w="140" w:type="dxa"/>
            </w:tcMar>
            <w:vAlign w:val="center"/>
          </w:tcPr>
          <w:p>
            <w:pPr>
              <w:pStyle w:val="KUTUMBACalloutLabel"/>
              <w:jc w:val="center"/>
            </w:pPr>
            <w:r>
              <w:t>TIME CUE</w:t>
            </w:r>
          </w:p>
        </w:tc>
        <w:tc>
          <w:tcPr>
            <w:tcW w:type="dxa" w:w="4968"/>
            <w:shd w:fill="EFF0F1"/>
            <w:tcMar>
              <w:top w:w="130" w:type="dxa"/>
              <w:start w:w="140" w:type="dxa"/>
              <w:bottom w:w="130" w:type="dxa"/>
              <w:end w:w="140" w:type="dxa"/>
            </w:tcMar>
            <w:vAlign w:val="center"/>
          </w:tcPr>
          <w:p>
            <w:pPr>
              <w:pStyle w:val="KUTUMBACalloutBody"/>
            </w:pPr>
            <w:r>
              <w:t>Saturday 2:00–4:00 · parents onsite · snack + water only</w:t>
            </w:r>
          </w:p>
        </w:tc>
      </w:tr>
    </w:tbl>
    <w:p>
      <w:pPr>
        <w:spacing w:after="20"/>
      </w:pPr>
    </w:p>
    <w:p>
      <w:pPr>
        <w:pStyle w:val="Heading1"/>
      </w:pPr>
      <w:r>
        <w:t>Week cover + objective</w:t>
      </w:r>
    </w:p>
    <w:p>
      <w:pPr>
        <w:pStyle w:val="KUTUMBAMeta"/>
        <w:jc w:val="center"/>
      </w:pPr>
      <w:r>
        <w:t>◆  ◆  ◆</w:t>
      </w:r>
    </w:p>
    <w:p>
      <w:r>
        <w:t>week_code: C1-W2 week_title: I Am Not This Body derived_from: canonical_file: 03-first-six-months/FIRST-SIX-MONTH-DETAILED-CURRICULUM.md source_id: KUT-SRC-0004 source_hash: 7123781051c732bc82baee084284d0bcac6c6b5011baf12d07216c2e503a7f58 extraction_heading: "C1-W2 — I Am Not This Body" extraction_date: 2026-06-30 component: overview ---</w:t>
      </w:r>
    </w:p>
    <w:p>
      <w:r>
        <w:rPr>
          <w:i/>
        </w:rPr>
        <w:t>Cycle 1 — Identity and the Human Problem</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**Field**</w:t>
            </w:r>
          </w:p>
        </w:tc>
        <w:tc>
          <w:tcPr>
            <w:tcW w:type="dxa" w:w="4968"/>
            <w:shd w:fill="5B1933"/>
            <w:tcMar>
              <w:top w:w="100" w:type="dxa"/>
              <w:start w:w="120" w:type="dxa"/>
              <w:bottom w:w="100" w:type="dxa"/>
              <w:end w:w="120" w:type="dxa"/>
            </w:tcMar>
          </w:tcPr>
          <w:p>
            <w:r>
              <w:rPr>
                <w:b/>
                <w:color w:val="FFFFFF"/>
              </w:rPr>
              <w:t>**Detail**</w:t>
            </w:r>
          </w:p>
        </w:tc>
      </w:tr>
      <w:tr>
        <w:tc>
          <w:tcPr>
            <w:tcW w:type="dxa" w:w="4968"/>
            <w:tcMar>
              <w:top w:w="100" w:type="dxa"/>
              <w:start w:w="120" w:type="dxa"/>
              <w:bottom w:w="100" w:type="dxa"/>
              <w:end w:w="120" w:type="dxa"/>
            </w:tcMar>
            <w:vAlign w:val="top"/>
          </w:tcPr>
          <w:p>
            <w:r>
              <w:t>**Week code**</w:t>
            </w:r>
          </w:p>
        </w:tc>
        <w:tc>
          <w:tcPr>
            <w:tcW w:type="dxa" w:w="4968"/>
            <w:tcMar>
              <w:top w:w="100" w:type="dxa"/>
              <w:start w:w="120" w:type="dxa"/>
              <w:bottom w:w="100" w:type="dxa"/>
              <w:end w:w="120" w:type="dxa"/>
            </w:tcMar>
            <w:vAlign w:val="top"/>
          </w:tcPr>
          <w:p>
            <w:r>
              <w:t>C1-W2</w:t>
            </w:r>
          </w:p>
        </w:tc>
      </w:tr>
      <w:tr>
        <w:tc>
          <w:tcPr>
            <w:tcW w:type="dxa" w:w="4968"/>
            <w:tcMar>
              <w:top w:w="100" w:type="dxa"/>
              <w:start w:w="120" w:type="dxa"/>
              <w:bottom w:w="100" w:type="dxa"/>
              <w:end w:w="120" w:type="dxa"/>
            </w:tcMar>
            <w:shd w:fill="FFF8E8"/>
            <w:vAlign w:val="top"/>
          </w:tcPr>
          <w:p>
            <w:r>
              <w:t>**Cycle function**</w:t>
            </w:r>
          </w:p>
        </w:tc>
        <w:tc>
          <w:tcPr>
            <w:tcW w:type="dxa" w:w="4968"/>
            <w:tcMar>
              <w:top w:w="100" w:type="dxa"/>
              <w:start w:w="120" w:type="dxa"/>
              <w:bottom w:w="100" w:type="dxa"/>
              <w:end w:w="120" w:type="dxa"/>
            </w:tcMar>
            <w:shd w:fill="FFF8E8"/>
            <w:vAlign w:val="top"/>
          </w:tcPr>
          <w:p>
            <w:r>
              <w:t>Foundational principle</w:t>
            </w:r>
          </w:p>
        </w:tc>
      </w:tr>
      <w:tr>
        <w:tc>
          <w:tcPr>
            <w:tcW w:type="dxa" w:w="4968"/>
            <w:tcMar>
              <w:top w:w="100" w:type="dxa"/>
              <w:start w:w="120" w:type="dxa"/>
              <w:bottom w:w="100" w:type="dxa"/>
              <w:end w:w="120" w:type="dxa"/>
            </w:tcMar>
            <w:vAlign w:val="top"/>
          </w:tcPr>
          <w:p>
            <w:r>
              <w:t>**Purpose**</w:t>
            </w:r>
          </w:p>
        </w:tc>
        <w:tc>
          <w:tcPr>
            <w:tcW w:type="dxa" w:w="4968"/>
            <w:tcMar>
              <w:top w:w="100" w:type="dxa"/>
              <w:start w:w="120" w:type="dxa"/>
              <w:bottom w:w="100" w:type="dxa"/>
              <w:end w:w="120" w:type="dxa"/>
            </w:tcMar>
            <w:vAlign w:val="top"/>
          </w:tcPr>
          <w:p>
            <w:r>
              <w:t>Help adults and children distinguish the changing body from the continuing conscious self, while learning to care for the body as Kṛṣṇa’s instrument rather than neglect or despise it.</w:t>
            </w:r>
          </w:p>
        </w:tc>
      </w:tr>
      <w:tr>
        <w:tc>
          <w:tcPr>
            <w:tcW w:type="dxa" w:w="4968"/>
            <w:tcMar>
              <w:top w:w="100" w:type="dxa"/>
              <w:start w:w="120" w:type="dxa"/>
              <w:bottom w:w="100" w:type="dxa"/>
              <w:end w:w="120" w:type="dxa"/>
            </w:tcMar>
            <w:shd w:fill="FFF8E8"/>
            <w:vAlign w:val="top"/>
          </w:tcPr>
          <w:p>
            <w:r>
              <w:t>**Key verse**</w:t>
            </w:r>
          </w:p>
        </w:tc>
        <w:tc>
          <w:tcPr>
            <w:tcW w:type="dxa" w:w="4968"/>
            <w:tcMar>
              <w:top w:w="100" w:type="dxa"/>
              <w:start w:w="120" w:type="dxa"/>
              <w:bottom w:w="100" w:type="dxa"/>
              <w:end w:w="120" w:type="dxa"/>
            </w:tcMar>
            <w:shd w:fill="FFF8E8"/>
            <w:vAlign w:val="top"/>
          </w:tcPr>
          <w:p>
            <w:r>
              <w:t>Bhagavad-gītā 2.13 — dehino ’smin yathā dehe</w:t>
            </w:r>
          </w:p>
        </w:tc>
      </w:tr>
      <w:tr>
        <w:tc>
          <w:tcPr>
            <w:tcW w:type="dxa" w:w="4968"/>
            <w:tcMar>
              <w:top w:w="100" w:type="dxa"/>
              <w:start w:w="120" w:type="dxa"/>
              <w:bottom w:w="100" w:type="dxa"/>
              <w:end w:w="120" w:type="dxa"/>
            </w:tcMar>
            <w:vAlign w:val="top"/>
          </w:tcPr>
          <w:p>
            <w:r>
              <w:t>**Memory line**</w:t>
            </w:r>
          </w:p>
        </w:tc>
        <w:tc>
          <w:tcPr>
            <w:tcW w:type="dxa" w:w="4968"/>
            <w:tcMar>
              <w:top w:w="100" w:type="dxa"/>
              <w:start w:w="120" w:type="dxa"/>
              <w:bottom w:w="100" w:type="dxa"/>
              <w:end w:w="120" w:type="dxa"/>
            </w:tcMar>
            <w:vAlign w:val="top"/>
          </w:tcPr>
          <w:p>
            <w:r>
              <w:t>The body changes from childhood to old age, but the conscious self continues.</w:t>
            </w:r>
          </w:p>
        </w:tc>
      </w:tr>
      <w:tr>
        <w:tc>
          <w:tcPr>
            <w:tcW w:type="dxa" w:w="4968"/>
            <w:tcMar>
              <w:top w:w="100" w:type="dxa"/>
              <w:start w:w="120" w:type="dxa"/>
              <w:bottom w:w="100" w:type="dxa"/>
              <w:end w:w="120" w:type="dxa"/>
            </w:tcMar>
            <w:shd w:fill="FFF8E8"/>
            <w:vAlign w:val="top"/>
          </w:tcPr>
          <w:p>
            <w:r>
              <w:t>**Bhakti laboratory**</w:t>
            </w:r>
          </w:p>
        </w:tc>
        <w:tc>
          <w:tcPr>
            <w:tcW w:type="dxa" w:w="4968"/>
            <w:tcMar>
              <w:top w:w="100" w:type="dxa"/>
              <w:start w:w="120" w:type="dxa"/>
              <w:bottom w:w="100" w:type="dxa"/>
              <w:end w:w="120" w:type="dxa"/>
            </w:tcMar>
            <w:shd w:fill="FFF8E8"/>
            <w:vAlign w:val="top"/>
          </w:tcPr>
          <w:p>
            <w:r>
              <w:t>Identity Pause and Japa Posture</w:t>
            </w:r>
          </w:p>
        </w:tc>
      </w:tr>
      <w:tr>
        <w:tc>
          <w:tcPr>
            <w:tcW w:type="dxa" w:w="4968"/>
            <w:tcMar>
              <w:top w:w="100" w:type="dxa"/>
              <w:start w:w="120" w:type="dxa"/>
              <w:bottom w:w="100" w:type="dxa"/>
              <w:end w:w="120" w:type="dxa"/>
            </w:tcMar>
            <w:vAlign w:val="top"/>
          </w:tcPr>
          <w:p>
            <w:r>
              <w:t>**Minimum home practice**</w:t>
            </w:r>
          </w:p>
        </w:tc>
        <w:tc>
          <w:tcPr>
            <w:tcW w:type="dxa" w:w="4968"/>
            <w:tcMar>
              <w:top w:w="100" w:type="dxa"/>
              <w:start w:w="120" w:type="dxa"/>
              <w:bottom w:w="100" w:type="dxa"/>
              <w:end w:w="120" w:type="dxa"/>
            </w:tcMar>
            <w:vAlign w:val="top"/>
          </w:tcPr>
          <w:p>
            <w:r>
              <w:t>Use the identity pause once daily at a chosen trigger.</w:t>
            </w:r>
          </w:p>
        </w:tc>
      </w:tr>
    </w:tbl>
    <w:p>
      <w:pPr>
        <w:spacing w:after="40"/>
      </w:pPr>
    </w:p>
    <w:p>
      <w:pPr>
        <w:pStyle w:val="Heading1"/>
      </w:pPr>
      <w:r>
        <w:t>Verse / concept visual</w:t>
      </w:r>
    </w:p>
    <w:p>
      <w:r>
        <w:drawing>
          <wp:inline xmlns:a="http://schemas.openxmlformats.org/drawingml/2006/main" xmlns:pic="http://schemas.openxmlformats.org/drawingml/2006/picture">
            <wp:extent cx="5303520" cy="6863379"/>
            <wp:docPr id="1" name="Picture 1"/>
            <wp:cNvGraphicFramePr>
              <a:graphicFrameLocks noChangeAspect="1"/>
            </wp:cNvGraphicFramePr>
            <a:graphic>
              <a:graphicData uri="http://schemas.openxmlformats.org/drawingml/2006/picture">
                <pic:pic>
                  <pic:nvPicPr>
                    <pic:cNvPr id="0" name="verse-card.png"/>
                    <pic:cNvPicPr/>
                  </pic:nvPicPr>
                  <pic:blipFill>
                    <a:blip r:embed="rId11"/>
                    <a:stretch>
                      <a:fillRect/>
                    </a:stretch>
                  </pic:blipFill>
                  <pic:spPr>
                    <a:xfrm>
                      <a:off x="0" y="0"/>
                      <a:ext cx="5303520" cy="6863379"/>
                    </a:xfrm>
                    <a:prstGeom prst="rect"/>
                  </pic:spPr>
                </pic:pic>
              </a:graphicData>
            </a:graphic>
          </wp:inline>
        </w:drawing>
      </w:r>
    </w:p>
    <w:p>
      <w:r>
        <w:drawing>
          <wp:inline xmlns:a="http://schemas.openxmlformats.org/drawingml/2006/main" xmlns:pic="http://schemas.openxmlformats.org/drawingml/2006/picture">
            <wp:extent cx="5303520" cy="2784348"/>
            <wp:docPr id="2" name="Picture 2"/>
            <wp:cNvGraphicFramePr>
              <a:graphicFrameLocks noChangeAspect="1"/>
            </wp:cNvGraphicFramePr>
            <a:graphic>
              <a:graphicData uri="http://schemas.openxmlformats.org/drawingml/2006/picture">
                <pic:pic>
                  <pic:nvPicPr>
                    <pic:cNvPr id="0" name="concept-diagram.png"/>
                    <pic:cNvPicPr/>
                  </pic:nvPicPr>
                  <pic:blipFill>
                    <a:blip r:embed="rId12"/>
                    <a:stretch>
                      <a:fillRect/>
                    </a:stretch>
                  </pic:blipFill>
                  <pic:spPr>
                    <a:xfrm>
                      <a:off x="0" y="0"/>
                      <a:ext cx="5303520" cy="2784348"/>
                    </a:xfrm>
                    <a:prstGeom prst="rect"/>
                  </pic:spPr>
                </pic:pic>
              </a:graphicData>
            </a:graphic>
          </wp:inline>
        </w:drawing>
      </w:r>
    </w:p>
    <w:p>
      <w:pPr>
        <w:pStyle w:val="Heading1"/>
      </w:pPr>
      <w:r>
        <w:t>Family handout / home practice</w:t>
      </w:r>
    </w:p>
    <w:p>
      <w:r>
        <w:rPr>
          <w:b/>
        </w:rPr>
        <w:t>5–15 minutes</w:t>
      </w:r>
    </w:p>
    <w:p>
      <w:pPr>
        <w:pStyle w:val="ListNumber"/>
      </w:pPr>
      <w:r>
        <w:t>Say the memory/teaching line once.</w:t>
      </w:r>
    </w:p>
    <w:p>
      <w:pPr>
        <w:pStyle w:val="ListNumber"/>
      </w:pPr>
      <w:r>
        <w:t>Read the KUTUMBA teaching meaning for the primary verse (not a long purport).</w:t>
      </w:r>
    </w:p>
    <w:p>
      <w:pPr>
        <w:pStyle w:val="ListNumber"/>
      </w:pPr>
      <w:r>
        <w:t>One gratitude or service act.</w:t>
      </w:r>
    </w:p>
    <w:p>
      <w:pPr>
        <w:pStyle w:val="ListNumber"/>
      </w:pPr>
      <w:r>
        <w:t>Minimum version if tired: one sentence of thanks.</w:t>
      </w:r>
    </w:p>
    <w:p>
      <w:r>
        <w:t>Saturday 2:00–4:00 remains the protected gathering; home practice is the daily/weekly cue.</w:t>
      </w:r>
    </w:p>
    <w:p>
      <w:pPr>
        <w:pStyle w:val="Heading1"/>
      </w:pPr>
      <w:r>
        <w:t>Younger printable(s)</w:t>
      </w:r>
    </w:p>
    <w:p>
      <w:r>
        <w:rPr>
          <w:b/>
        </w:rPr>
        <w:t>Theme:</w:t>
      </w:r>
      <w:r>
        <w:t xml:space="preserve"> I Am Not This Body </w:t>
      </w:r>
      <w:r>
        <w:rPr>
          <w:b/>
        </w:rPr>
        <w:t>Primary:</w:t>
      </w:r>
      <w:r>
        <w:t xml:space="preserve"> BG 2.13 — https://vedabase.io/en/library/bg/2/13/ </w:t>
      </w:r>
      <w:r>
        <w:rPr>
          <w:b/>
        </w:rPr>
        <w:t>Memory phrase:</w:t>
      </w:r>
      <w:r>
        <w:t xml:space="preserve"> My body changes; I continue as the conscious self.</w:t>
      </w:r>
    </w:p>
    <w:p>
      <w:pPr>
        <w:pStyle w:val="KUTUMBAMeta"/>
        <w:jc w:val="center"/>
      </w:pPr>
      <w:r>
        <w:t>◆  ◆  ◆</w:t>
      </w:r>
    </w:p>
    <w:p>
      <w:pPr>
        <w:pStyle w:val="Heading2"/>
      </w:pPr>
      <w:r>
        <w:t>Objective</w:t>
      </w:r>
    </w:p>
    <w:p>
      <w:r>
        <w:t>Children show body-change vs continuing “I,” practice kind body-speech, and take home a Care / Self cue card.</w:t>
      </w:r>
    </w:p>
    <w:p>
      <w:pPr>
        <w:pStyle w:val="Heading2"/>
      </w:pPr>
      <w:r>
        <w:t>Core activity — Changing Garments Demo (5–8 min)</w:t>
      </w:r>
    </w:p>
    <w:p>
      <w:pPr>
        <w:pStyle w:val="ListNumber"/>
      </w:pPr>
      <w:r>
        <w:t>Teacher wraps a soft scarf on a stuffed animal, then changes it for another scarf.</w:t>
      </w:r>
    </w:p>
    <w:p>
      <w:pPr>
        <w:pStyle w:val="ListNumber"/>
      </w:pPr>
      <w:r>
        <w:t>Ask: “Did the friend inside disappear when the scarf changed?” Children: No.</w:t>
      </w:r>
    </w:p>
    <w:p>
      <w:pPr>
        <w:pStyle w:val="ListNumber"/>
      </w:pPr>
      <w:r>
        <w:t>Show child → youth → elder picture cards: bodies change; person continues.</w:t>
      </w:r>
    </w:p>
    <w:p>
      <w:pPr>
        <w:pStyle w:val="ListNumber"/>
      </w:pPr>
      <w:r>
        <w:t>Practice kind line together: “We care for bodies. We don’t tease bodies.”</w:t>
      </w:r>
    </w:p>
    <w:p>
      <w:pPr>
        <w:pStyle w:val="ListNumber"/>
      </w:pPr>
      <w:r>
        <w:t>Three echoes of the memory phrase.</w:t>
      </w:r>
    </w:p>
    <w:p>
      <w:pPr>
        <w:pStyle w:val="Heading2"/>
      </w:pPr>
      <w:r>
        <w:t>Story boundary</w:t>
      </w:r>
    </w:p>
    <w:p>
      <w:r>
        <w:t>Paraphrase only from the younger teacher guide (Arjuna’s grief context → BG 2.13 stages; garment support). No invented deity dialogue. No graphic violence. No body-contempt language. No claiming photos prove the soul.</w:t>
      </w:r>
    </w:p>
    <w:p>
      <w:pPr>
        <w:pStyle w:val="Heading2"/>
      </w:pPr>
      <w:r>
        <w:t>Movement — Grow and Freeze</w:t>
      </w:r>
    </w:p>
    <w:p>
      <w:pPr>
        <w:pStyle w:val="ListNumber"/>
      </w:pPr>
      <w:r>
        <w:t>Children walk slowly.</w:t>
      </w:r>
    </w:p>
    <w:p>
      <w:pPr>
        <w:pStyle w:val="ListNumber"/>
      </w:pPr>
      <w:r>
        <w:rPr>
          <w:b/>
        </w:rPr>
        <w:t>Grow!</w:t>
      </w:r>
      <w:r>
        <w:t xml:space="preserve"> = stretch tall.</w:t>
      </w:r>
    </w:p>
    <w:p>
      <w:pPr>
        <w:pStyle w:val="ListNumber"/>
      </w:pPr>
      <w:r>
        <w:rPr>
          <w:b/>
        </w:rPr>
        <w:t>Freeze!</w:t>
      </w:r>
      <w:r>
        <w:t xml:space="preserve"> = whisper memory phrase.</w:t>
      </w:r>
    </w:p>
    <w:p>
      <w:pPr>
        <w:pStyle w:val="ListNumber"/>
      </w:pPr>
      <w:r>
        <w:rPr>
          <w:b/>
        </w:rPr>
        <w:t>Kind hands!</w:t>
      </w:r>
      <w:r>
        <w:t xml:space="preserve"> = hand on heart / friendly wave.</w:t>
      </w:r>
    </w:p>
    <w:p>
      <w:pPr>
        <w:pStyle w:val="ListNumber"/>
      </w:pPr>
      <w:r>
        <w:t>Three rounds; on round three point to kind-speech card (not tease card).</w:t>
      </w:r>
    </w:p>
    <w:p>
      <w:pPr>
        <w:pStyle w:val="Heading2"/>
      </w:pPr>
      <w:r>
        <w:t>Craft — Care / Self cue card (step-by-step)</w:t>
      </w:r>
    </w:p>
    <w:p>
      <w:pPr>
        <w:pStyle w:val="ListNumber"/>
      </w:pPr>
      <w:r>
        <w:t>Fold card stock.</w:t>
      </w:r>
    </w:p>
    <w:p>
      <w:pPr>
        <w:pStyle w:val="ListNumber"/>
      </w:pPr>
      <w:r>
        <w:t xml:space="preserve">Left outside: small body outline labeled </w:t>
      </w:r>
      <w:r>
        <w:rPr>
          <w:b/>
        </w:rPr>
        <w:t>Care</w:t>
      </w:r>
      <w:r>
        <w:t>.</w:t>
      </w:r>
    </w:p>
    <w:p>
      <w:pPr>
        <w:pStyle w:val="ListNumber"/>
      </w:pPr>
      <w:r>
        <w:t xml:space="preserve">Right outside: heart or “I” labeled </w:t>
      </w:r>
      <w:r>
        <w:rPr>
          <w:b/>
        </w:rPr>
        <w:t>Self</w:t>
      </w:r>
      <w:r>
        <w:t>.</w:t>
      </w:r>
    </w:p>
    <w:p>
      <w:pPr>
        <w:pStyle w:val="ListNumber"/>
      </w:pPr>
      <w:r>
        <w:t>Inside: write memory phrase (helper may write).</w:t>
      </w:r>
    </w:p>
    <w:p>
      <w:pPr>
        <w:pStyle w:val="ListNumber"/>
      </w:pPr>
      <w:r>
        <w:t>Back: draw one care act (sleep, water, brush) or one kind speech bubble.</w:t>
      </w:r>
    </w:p>
    <w:p>
      <w:pPr>
        <w:pStyle w:val="ListNumber"/>
      </w:pPr>
      <w:r>
        <w:t>Practice: touch Care → Self while saying the phrase.</w:t>
      </w:r>
    </w:p>
    <w:p>
      <w:pPr>
        <w:pStyle w:val="ListNumber"/>
      </w:pPr>
      <w:r>
        <w:t>Take home; place near mirror or toothbrush.</w:t>
      </w:r>
    </w:p>
    <w:p>
      <w:pPr>
        <w:pStyle w:val="Heading2"/>
      </w:pPr>
      <w:r>
        <w:t>Printable</w:t>
      </w:r>
    </w:p>
    <w:p>
      <w:r>
        <w:t xml:space="preserve">Color </w:t>
      </w:r>
      <w:r>
        <w:rPr>
          <w:rFonts w:ascii="Consolas" w:hAnsi="Consolas"/>
          <w:color w:val="7A263A"/>
          <w:sz w:val="18"/>
        </w:rPr>
        <w:t>../visuals/V12/line-art-younger.svg</w:t>
      </w:r>
      <w:r>
        <w:t xml:space="preserve"> if present; else color the cue card.</w:t>
      </w:r>
    </w:p>
    <w:p>
      <w:pPr>
        <w:pStyle w:val="Heading2"/>
      </w:pPr>
      <w:r>
        <w:t>Backup (low prep)</w:t>
      </w:r>
    </w:p>
    <w:p>
      <w:r>
        <w:t>Pass soft object. Catch → say “change,” “continue,” or “kind.” Close with memory phrase.</w:t>
      </w:r>
    </w:p>
    <w:p>
      <w:pPr>
        <w:pStyle w:val="Heading2"/>
      </w:pPr>
      <w:r>
        <w:t>Materials</w:t>
      </w:r>
    </w:p>
    <w:p>
      <w:r>
        <w:t>Line art (optional), crayons, card stock, scarf, stuffed animal, stage picture cards, soft toss object.</w:t>
      </w:r>
    </w:p>
    <w:p>
      <w:pPr>
        <w:pStyle w:val="Heading2"/>
      </w:pPr>
      <w:r>
        <w:t>Parent note</w:t>
      </w:r>
    </w:p>
    <w:tbl>
      <w:tblPr>
        <w:tblW w:type="auto" w:w="0"/>
        <w:jc w:val="center"/>
        <w:tblLayout w:type="fixed"/>
        <w:tblLook w:firstColumn="1" w:firstRow="1" w:lastColumn="0" w:lastRow="0" w:noHBand="0" w:noVBand="1" w:val="04A0"/>
        <w:tblBorders>
          <w:top w:val="single" w:sz="8" w:color="5B1933"/>
          <w:left w:val="single" w:sz="8" w:color="5B1933"/>
          <w:bottom w:val="single" w:sz="8" w:color="5B1933"/>
          <w:right w:val="single" w:sz="8" w:color="5B1933"/>
          <w:insideH w:val="single" w:sz="8" w:color="5B1933"/>
          <w:insideV w:val="single" w:sz="8" w:color="5B1933"/>
        </w:tblBorders>
      </w:tblPr>
      <w:tblGrid>
        <w:gridCol w:w="1944"/>
        <w:gridCol w:w="8136"/>
      </w:tblGrid>
      <w:tr>
        <w:tc>
          <w:tcPr>
            <w:tcW w:type="dxa" w:w="4968"/>
            <w:shd w:fill="5B1933"/>
            <w:tcMar>
              <w:top w:w="130" w:type="dxa"/>
              <w:start w:w="140" w:type="dxa"/>
              <w:bottom w:w="130" w:type="dxa"/>
              <w:end w:w="140" w:type="dxa"/>
            </w:tcMar>
            <w:vAlign w:val="center"/>
          </w:tcPr>
          <w:p>
            <w:pPr>
              <w:pStyle w:val="KUTUMBACalloutLabel"/>
              <w:jc w:val="center"/>
            </w:pPr>
            <w:r>
              <w:t>HOME PRACTICE</w:t>
            </w:r>
          </w:p>
        </w:tc>
        <w:tc>
          <w:tcPr>
            <w:tcW w:type="dxa" w:w="4968"/>
            <w:shd w:fill="F8E8BF"/>
            <w:tcMar>
              <w:top w:w="130" w:type="dxa"/>
              <w:start w:w="140" w:type="dxa"/>
              <w:bottom w:w="130" w:type="dxa"/>
              <w:end w:w="140" w:type="dxa"/>
            </w:tcMar>
            <w:vAlign w:val="center"/>
          </w:tcPr>
          <w:p>
            <w:pPr>
              <w:pStyle w:val="KUTUMBACalloutBody"/>
            </w:pPr>
            <w:r>
              <w:t>once daily — notice one body change or one kind body-speech; say the memory phrase. Photos/psychology help teaching; they do not prove the soul. Snack/water only at Saturday program; no ranking.</w:t>
            </w:r>
          </w:p>
        </w:tc>
      </w:tr>
    </w:tbl>
    <w:p>
      <w:pPr>
        <w:spacing w:after="20"/>
      </w:pPr>
    </w:p>
    <w:p>
      <w:pPr>
        <w:pStyle w:val="Heading1"/>
      </w:pPr>
      <w:r>
        <w:t>Older printable(s)</w:t>
      </w:r>
    </w:p>
    <w:p>
      <w:r>
        <w:rPr>
          <w:b/>
        </w:rPr>
        <w:t>Theme:</w:t>
      </w:r>
      <w:r>
        <w:t xml:space="preserve"> I Am Not This Body </w:t>
      </w:r>
      <w:r>
        <w:rPr>
          <w:b/>
        </w:rPr>
        <w:t>Primary:</w:t>
      </w:r>
      <w:r>
        <w:t xml:space="preserve"> BG 2.13 — https://vedabase.io/en/library/bg/2/13/ </w:t>
      </w:r>
      <w:r>
        <w:rPr>
          <w:b/>
        </w:rPr>
        <w:t>Essential question:</w:t>
      </w:r>
      <w:r>
        <w:t xml:space="preserve"> How should knowing I am not only this body change how we speak about bodies?</w:t>
      </w:r>
    </w:p>
    <w:p>
      <w:pPr>
        <w:pStyle w:val="KUTUMBAMeta"/>
        <w:jc w:val="center"/>
      </w:pPr>
      <w:r>
        <w:t>◆  ◆  ◆</w:t>
      </w:r>
    </w:p>
    <w:p>
      <w:pPr>
        <w:pStyle w:val="Heading2"/>
      </w:pPr>
      <w:r>
        <w:t>Materials for each student</w:t>
      </w:r>
    </w:p>
    <w:p>
      <w:pPr>
        <w:pStyle w:val="ListBullet"/>
      </w:pPr>
      <w:r>
        <w:t>This worksheet · pencil · Care–Self diagram · one scenario card · project half-sheet</w:t>
      </w:r>
    </w:p>
    <w:p>
      <w:r>
        <w:t xml:space="preserve">Teachers: </w:t>
      </w:r>
      <w:r>
        <w:rPr>
          <w:rFonts w:ascii="Consolas" w:hAnsi="Consolas"/>
          <w:color w:val="7A263A"/>
          <w:sz w:val="18"/>
        </w:rPr>
        <w:t>OLDER-ANSWER-KEY.md</w:t>
      </w:r>
      <w:r>
        <w:t xml:space="preserve"> (teacher only).</w:t>
      </w:r>
    </w:p>
    <w:p>
      <w:pPr>
        <w:pStyle w:val="KUTUMBAMeta"/>
        <w:jc w:val="center"/>
      </w:pPr>
      <w:r>
        <w:t>◆  ◆  ◆</w:t>
      </w:r>
    </w:p>
    <w:p>
      <w:pPr>
        <w:pStyle w:val="Heading2"/>
      </w:pPr>
      <w:r>
        <w:t>Section A — Text observation (BG 2.13)</w:t>
      </w:r>
    </w:p>
    <w:p>
      <w:r>
        <w:rPr>
          <w:b/>
        </w:rPr>
        <w:t>IAST:</w:t>
      </w:r>
      <w:r>
        <w:t xml:space="preserve"> dehino ’smin yathā dehe kaumāraṁ yauvanaṁ jarā / tathā dehāntara-prāptir dhīras tatra na muhyati</w:t>
      </w:r>
    </w:p>
    <w:p>
      <w:r>
        <w:rPr>
          <w:b/>
        </w:rPr>
        <w:t>KUTUMBA teaching meaning:</w:t>
      </w:r>
      <w:r>
        <w:t xml:space="preserve"> Just as the embodied self passes through childhood, youth, and old age in one body, the sober person is not bewildered when the self passes to another body.</w:t>
      </w:r>
    </w:p>
    <w:p>
      <w:r>
        <w:rPr>
          <w:i/>
        </w:rPr>
        <w:t>(KUTUMBA teaching meaning — not BBT translation.)</w:t>
      </w:r>
    </w:p>
    <w:p>
      <w:r>
        <w:rPr>
          <w:b/>
        </w:rPr>
        <w:t>Source:</w:t>
      </w:r>
      <w:r>
        <w:t xml:space="preserve"> https://vedabase.io/en/library/bg/2/13/</w:t>
      </w:r>
    </w:p>
    <w:p>
      <w:pPr>
        <w:pStyle w:val="ListNumber"/>
      </w:pPr>
      <w:r>
        <w:t>List the three body stages named in the teaching meaning.</w:t>
      </w:r>
    </w:p>
    <w:p>
      <w:pPr>
        <w:pStyle w:val="ListNumber"/>
      </w:pPr>
      <w:r>
        <w:t xml:space="preserve">Circle key ideas: embodied self / not bewildered / laboratory proof / appearance ranking. Cross out what does </w:t>
      </w:r>
      <w:r>
        <w:rPr>
          <w:b/>
        </w:rPr>
        <w:t>not</w:t>
      </w:r>
      <w:r>
        <w:t xml:space="preserve"> belong.</w:t>
      </w:r>
    </w:p>
    <w:p>
      <w:pPr>
        <w:pStyle w:val="ListNumber"/>
      </w:pPr>
      <w:r>
        <w:t xml:space="preserve">Name two respectful ways to </w:t>
      </w:r>
      <w:r>
        <w:rPr>
          <w:b/>
        </w:rPr>
        <w:t>care</w:t>
      </w:r>
      <w:r>
        <w:t xml:space="preserve"> for the body this week.</w:t>
      </w:r>
    </w:p>
    <w:p>
      <w:pPr>
        <w:pStyle w:val="ListNumber"/>
      </w:pPr>
      <w:r>
        <w:t xml:space="preserve">Why can family photos help teaching but </w:t>
      </w:r>
      <w:r>
        <w:rPr>
          <w:b/>
        </w:rPr>
        <w:t>not prove</w:t>
      </w:r>
      <w:r>
        <w:t xml:space="preserve"> the soul?</w:t>
      </w:r>
    </w:p>
    <w:p>
      <w:pPr>
        <w:pStyle w:val="ListNumber"/>
      </w:pPr>
      <w:r>
        <w:t xml:space="preserve">Why is “ignore the body — we’re spiritual” </w:t>
      </w:r>
      <w:r>
        <w:rPr>
          <w:b/>
        </w:rPr>
        <w:t>not</w:t>
      </w:r>
      <w:r>
        <w:t xml:space="preserve"> this week’s conclusion?</w:t>
      </w:r>
    </w:p>
    <w:p>
      <w:pPr>
        <w:pStyle w:val="ListNumber"/>
      </w:pPr>
      <w:r>
        <w:t>Rewrite “It’s just a joke” into a repair sentence after appearance teasing.</w:t>
      </w:r>
    </w:p>
    <w:p>
      <w:pPr>
        <w:pStyle w:val="Heading2"/>
      </w:pPr>
      <w:r>
        <w:t>Section B — Scenario card response</w:t>
      </w:r>
    </w:p>
    <w:p>
      <w:r>
        <w:t>Your card: ☐ Sibling appearance tease ☐ Fitness-as-self ☐ Public weight question</w:t>
      </w:r>
    </w:p>
    <w:p>
      <w:pPr>
        <w:pStyle w:val="ListNumber"/>
      </w:pPr>
      <w:r>
        <w:t>Mistaken conclusion:</w:t>
      </w:r>
    </w:p>
    <w:p>
      <w:pPr>
        <w:pStyle w:val="ListNumber"/>
      </w:pPr>
      <w:r>
        <w:t>Principle from BG 2.13 (one sentence):</w:t>
      </w:r>
    </w:p>
    <w:p>
      <w:pPr>
        <w:pStyle w:val="ListNumber"/>
      </w:pPr>
      <w:r>
        <w:t>Compassionate response:</w:t>
      </w:r>
    </w:p>
    <w:p>
      <w:pPr>
        <w:pStyle w:val="ListNumber"/>
      </w:pPr>
      <w:r>
        <w:t>Better family action:</w:t>
      </w:r>
    </w:p>
    <w:p>
      <w:pPr>
        <w:pStyle w:val="ListNumber"/>
      </w:pPr>
      <w:r>
        <w:t xml:space="preserve">One sentence you should </w:t>
      </w:r>
      <w:r>
        <w:rPr>
          <w:b/>
        </w:rPr>
        <w:t>not</w:t>
      </w:r>
      <w:r>
        <w:t xml:space="preserve"> say:</w:t>
      </w:r>
    </w:p>
    <w:p>
      <w:pPr>
        <w:pStyle w:val="Heading2"/>
      </w:pPr>
      <w:r>
        <w:t>Section C — Care–Self diagram</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3312"/>
        <w:gridCol w:w="3312"/>
        <w:gridCol w:w="3312"/>
      </w:tblGrid>
      <w:tr>
        <w:trPr>
          <w:tblHeader w:val="true"/>
        </w:trPr>
        <w:tc>
          <w:tcPr>
            <w:tcW w:type="dxa" w:w="3312"/>
            <w:shd w:fill="5B1933"/>
            <w:tcMar>
              <w:top w:w="100" w:type="dxa"/>
              <w:start w:w="120" w:type="dxa"/>
              <w:bottom w:w="100" w:type="dxa"/>
              <w:end w:w="120" w:type="dxa"/>
            </w:tcMar>
          </w:tcPr>
          <w:p>
            <w:r>
              <w:rPr>
                <w:b/>
                <w:color w:val="FFFFFF"/>
              </w:rPr>
              <w:t>Body stages</w:t>
            </w:r>
          </w:p>
        </w:tc>
        <w:tc>
          <w:tcPr>
            <w:tcW w:type="dxa" w:w="3312"/>
            <w:shd w:fill="5B1933"/>
            <w:tcMar>
              <w:top w:w="100" w:type="dxa"/>
              <w:start w:w="120" w:type="dxa"/>
              <w:bottom w:w="100" w:type="dxa"/>
              <w:end w:w="120" w:type="dxa"/>
            </w:tcMar>
          </w:tcPr>
          <w:p>
            <w:r>
              <w:rPr>
                <w:b/>
                <w:color w:val="FFFFFF"/>
              </w:rPr>
              <w:t>Conscious self continues</w:t>
            </w:r>
          </w:p>
        </w:tc>
        <w:tc>
          <w:tcPr>
            <w:tcW w:type="dxa" w:w="3312"/>
            <w:shd w:fill="5B1933"/>
            <w:tcMar>
              <w:top w:w="100" w:type="dxa"/>
              <w:start w:w="120" w:type="dxa"/>
              <w:bottom w:w="100" w:type="dxa"/>
              <w:end w:w="120" w:type="dxa"/>
            </w:tcMar>
          </w:tcPr>
          <w:p>
            <w:r>
              <w:rPr>
                <w:b/>
                <w:color w:val="FFFFFF"/>
              </w:rPr>
              <w:t>Kind speech + responsible care</w:t>
            </w:r>
          </w:p>
        </w:tc>
      </w:tr>
      <w:tr>
        <w:tc>
          <w:tcPr>
            <w:tcW w:type="dxa" w:w="3312"/>
            <w:tcMar>
              <w:top w:w="100" w:type="dxa"/>
              <w:start w:w="120" w:type="dxa"/>
              <w:bottom w:w="100" w:type="dxa"/>
              <w:end w:w="120" w:type="dxa"/>
            </w:tcMar>
            <w:vAlign w:val="top"/>
          </w:tcPr>
          <w:p>
            <w:r/>
          </w:p>
        </w:tc>
        <w:tc>
          <w:tcPr>
            <w:tcW w:type="dxa" w:w="3312"/>
            <w:tcMar>
              <w:top w:w="100" w:type="dxa"/>
              <w:start w:w="120" w:type="dxa"/>
              <w:bottom w:w="100" w:type="dxa"/>
              <w:end w:w="120" w:type="dxa"/>
            </w:tcMar>
            <w:vAlign w:val="top"/>
          </w:tcPr>
          <w:p>
            <w:r/>
          </w:p>
        </w:tc>
        <w:tc>
          <w:tcPr>
            <w:tcW w:type="dxa" w:w="3312"/>
            <w:tcMar>
              <w:top w:w="100" w:type="dxa"/>
              <w:start w:w="120" w:type="dxa"/>
              <w:bottom w:w="100" w:type="dxa"/>
              <w:end w:w="120" w:type="dxa"/>
            </w:tcMar>
            <w:vAlign w:val="top"/>
          </w:tcPr>
          <w:p>
            <w:r/>
          </w:p>
        </w:tc>
      </w:tr>
    </w:tbl>
    <w:p>
      <w:pPr>
        <w:spacing w:after="40"/>
      </w:pPr>
    </w:p>
    <w:p>
      <w:r>
        <w:t xml:space="preserve">Circle </w:t>
      </w:r>
      <w:r>
        <w:rPr>
          <w:b/>
        </w:rPr>
        <w:t>Kind speech</w:t>
      </w:r>
      <w:r>
        <w:t xml:space="preserve">. Write inside: </w:t>
      </w:r>
      <w:r>
        <w:rPr>
          <w:i/>
        </w:rPr>
        <w:t>Care for the body; don’t confuse it with the self.</w:t>
      </w:r>
    </w:p>
    <w:p>
      <w:r>
        <w:t xml:space="preserve">Use a </w:t>
      </w:r>
      <w:r>
        <w:rPr>
          <w:b/>
        </w:rPr>
        <w:t>low-risk</w:t>
      </w:r>
      <w:r>
        <w:t xml:space="preserve"> example (lost pencil height joke, shoes too small) — not private trauma.</w:t>
      </w:r>
    </w:p>
    <w:p>
      <w:pPr>
        <w:pStyle w:val="Heading2"/>
      </w:pPr>
      <w:r>
        <w:t>Section D — Respectful Fork game (class)</w:t>
      </w:r>
    </w:p>
    <w:p>
      <w:r>
        <w:t xml:space="preserve">Teacher reads forks. Hold </w:t>
      </w:r>
      <w:r>
        <w:rPr>
          <w:b/>
        </w:rPr>
        <w:t>R</w:t>
      </w:r>
      <w:r>
        <w:t xml:space="preserve"> (respectful) or </w:t>
      </w:r>
      <w:r>
        <w:rPr>
          <w:b/>
        </w:rPr>
        <w:t>M</w:t>
      </w:r>
      <w:r>
        <w:t xml:space="preserve"> (mistaken). Write one R ending you liked and why it matches BG 2.13:</w:t>
      </w:r>
    </w:p>
    <w:p>
      <w:pPr>
        <w:pStyle w:val="Heading2"/>
      </w:pPr>
      <w:r>
        <w:t>Section E — Project contribution</w:t>
      </w:r>
    </w:p>
    <w:p>
      <w:r>
        <w:t>This week our family will speak about bodies by _______________________________________________.</w:t>
      </w:r>
    </w:p>
    <w:p>
      <w:r>
        <w:t>One care act we will keep: _______________________________________________.</w:t>
      </w:r>
    </w:p>
    <w:p>
      <w:pPr>
        <w:pStyle w:val="Heading2"/>
      </w:pPr>
      <w:r>
        <w:t>Section F — Reflection</w:t>
      </w:r>
    </w:p>
    <w:p>
      <w:r>
        <w:t xml:space="preserve">How does BG 2.13 challenge </w:t>
      </w:r>
      <w:r>
        <w:rPr>
          <w:b/>
        </w:rPr>
        <w:t>both</w:t>
      </w:r>
      <w:r>
        <w:t xml:space="preserve"> “I am only my body” </w:t>
      </w:r>
      <w:r>
        <w:rPr>
          <w:b/>
        </w:rPr>
        <w:t>and</w:t>
      </w:r>
      <w:r>
        <w:t xml:space="preserve"> “the body is trash”? (2–4 sentences)</w:t>
      </w:r>
    </w:p>
    <w:p>
      <w:pPr>
        <w:pStyle w:val="Heading2"/>
      </w:pPr>
      <w:r>
        <w:t>Home practice reminder</w:t>
      </w:r>
    </w:p>
    <w:p>
      <w:r>
        <w:t>Once daily: notice one body change or repair one speech habit; say the memory phrase. Snack/water only at program; no weekly meal; no ranking.</w:t>
      </w:r>
    </w:p>
    <w:p>
      <w:pPr>
        <w:pStyle w:val="Heading1"/>
      </w:pPr>
      <w:r>
        <w:t>Project contribution</w:t>
      </w:r>
    </w:p>
    <w:p>
      <w:pPr>
        <w:pStyle w:val="Heading2"/>
      </w:pPr>
      <w:r>
        <w:t>Cumulative project title</w:t>
      </w:r>
    </w:p>
    <w:p>
      <w:r>
        <w:rPr>
          <w:b/>
        </w:rPr>
        <w:t>Who Am I, and How Should Our Family Live?</w:t>
      </w:r>
    </w:p>
    <w:p>
      <w:pPr>
        <w:pStyle w:val="Heading2"/>
      </w:pPr>
      <w:r>
        <w:t>Essential question</w:t>
      </w:r>
    </w:p>
    <w:p>
      <w:r>
        <w:t>How should body-language change?</w:t>
      </w:r>
    </w:p>
    <w:p>
      <w:pPr>
        <w:pStyle w:val="Heading2"/>
      </w:pPr>
      <w:r>
        <w:t>This week layer</w:t>
      </w:r>
    </w:p>
    <w:p>
      <w:r>
        <w:t>Tied to BG 2.13: Body changes; conscious self continues.</w:t>
      </w:r>
    </w:p>
    <w:p>
      <w:pPr>
        <w:pStyle w:val="Heading2"/>
      </w:pPr>
      <w:r>
        <w:t>Steps</w:t>
      </w:r>
    </w:p>
    <w:p>
      <w:pPr>
        <w:pStyle w:val="ListNumber"/>
      </w:pPr>
      <w:r>
        <w:t>Discuss the essential question 3–5 minutes.</w:t>
      </w:r>
    </w:p>
    <w:p>
      <w:pPr>
        <w:pStyle w:val="ListNumber"/>
      </w:pPr>
      <w:r>
        <w:t>Produce one week-specific artifact.</w:t>
      </w:r>
    </w:p>
    <w:p>
      <w:pPr>
        <w:pStyle w:val="ListNumber"/>
      </w:pPr>
      <w:r>
        <w:t>Store for Week 6.</w:t>
      </w:r>
    </w:p>
    <w:p>
      <w:pPr>
        <w:pStyle w:val="ListNumber"/>
      </w:pPr>
      <w:r>
        <w:t>Bring one sentence or drawing to reunification.</w:t>
      </w:r>
    </w:p>
    <w:p>
      <w:pPr>
        <w:pStyle w:val="Heading2"/>
      </w:pPr>
      <w:r>
        <w:t>Primary source</w:t>
      </w:r>
    </w:p>
    <w:p>
      <w:r>
        <w:t>BG 2.13 — https://vedabase.io/en/library/bg/2/13/</w:t>
      </w:r>
    </w:p>
    <w:p>
      <w:pPr>
        <w:pStyle w:val="Heading2"/>
      </w:pPr>
      <w:r>
        <w:t>Boundaries</w:t>
      </w:r>
    </w:p>
    <w:p>
      <w:r>
        <w:t>No ranking; no forced disclosure; distinguish scripture paraphrase from analogy. For W6 review, represent W5 with BG 8.15 (not BG 5.22 as primary).</w:t>
      </w:r>
    </w:p>
    <w:p>
      <w:pPr>
        <w:pStyle w:val="Heading2"/>
      </w:pPr>
      <w:r>
        <w:t>Success look-fors</w:t>
      </w:r>
    </w:p>
    <w:p>
      <w:r>
        <w:t>Artifact exists; family can state conclusion; home cue named.</w:t>
      </w:r>
    </w:p>
    <w:p>
      <w:r>
        <w:br w:type="page"/>
      </w:r>
    </w:p>
    <w:p>
      <w:pPr>
        <w:pStyle w:val="Heading1"/>
      </w:pPr>
      <w:r>
        <w:t>TEACHER-ONLY: Answer key</w:t>
      </w:r>
    </w:p>
    <w:p>
      <w:r>
        <w:rPr>
          <w:b/>
        </w:rPr>
        <w:t>Week:</w:t>
      </w:r>
      <w:r>
        <w:t xml:space="preserve"> I Am Not This Body </w:t>
      </w:r>
      <w:r>
        <w:rPr>
          <w:b/>
        </w:rPr>
        <w:t>Primary:</w:t>
      </w:r>
      <w:r>
        <w:t xml:space="preserve"> BG 2.13 — https://vedabase.io/en/library/bg/2/13/ </w:t>
      </w:r>
      <w:r>
        <w:rPr>
          <w:b/>
        </w:rPr>
        <w:t>Do not distribute to students during first attempt. Not a ranking tool.</w:t>
      </w:r>
    </w:p>
    <w:p>
      <w:pPr>
        <w:pStyle w:val="KUTUMBAMeta"/>
        <w:jc w:val="center"/>
      </w:pPr>
      <w:r>
        <w:t>◆  ◆  ◆</w:t>
      </w:r>
    </w:p>
    <w:p>
      <w:pPr>
        <w:pStyle w:val="Heading2"/>
      </w:pPr>
      <w:r>
        <w:t>Section A — expected directions</w:t>
      </w:r>
    </w:p>
    <w:p>
      <w:pPr>
        <w:pStyle w:val="ListNumber"/>
      </w:pPr>
      <w:r>
        <w:rPr>
          <w:b/>
        </w:rPr>
        <w:t>Stages:</w:t>
      </w:r>
      <w:r>
        <w:t xml:space="preserve"> Childhood, youth, old age (kaumāraṁ, yauvanaṁ, jarā).</w:t>
      </w:r>
    </w:p>
    <w:p>
      <w:pPr>
        <w:pStyle w:val="ListNumber"/>
      </w:pPr>
      <w:r>
        <w:rPr>
          <w:b/>
        </w:rPr>
        <w:t>Circle:</w:t>
      </w:r>
      <w:r>
        <w:t xml:space="preserve"> embodied self, not bewildered. </w:t>
      </w:r>
      <w:r>
        <w:rPr>
          <w:b/>
        </w:rPr>
        <w:t>Cross out:</w:t>
      </w:r>
      <w:r>
        <w:t xml:space="preserve"> laboratory proof, appearance ranking.</w:t>
      </w:r>
    </w:p>
    <w:p>
      <w:pPr>
        <w:pStyle w:val="ListNumber"/>
      </w:pPr>
      <w:r>
        <w:rPr>
          <w:b/>
        </w:rPr>
        <w:t>Care examples:</w:t>
      </w:r>
      <w:r>
        <w:t xml:space="preserve"> sleep, hygiene, food, medicine, exercise as service readiness — not identity.</w:t>
      </w:r>
    </w:p>
    <w:p>
      <w:pPr>
        <w:pStyle w:val="ListNumber"/>
      </w:pPr>
      <w:r>
        <w:rPr>
          <w:b/>
        </w:rPr>
        <w:t>Photos:</w:t>
      </w:r>
      <w:r>
        <w:t xml:space="preserve"> Pedagogy for continuity of “I” across stages; do not prove ātman. Doctrine rests on śāstra.</w:t>
      </w:r>
    </w:p>
    <w:p>
      <w:pPr>
        <w:pStyle w:val="ListNumber"/>
      </w:pPr>
      <w:r>
        <w:rPr>
          <w:b/>
        </w:rPr>
        <w:t>Not body neglect:</w:t>
      </w:r>
      <w:r>
        <w:t xml:space="preserve"> Care for the vehicle; refuse harsh dualism (“body is trash”).</w:t>
      </w:r>
    </w:p>
    <w:p>
      <w:pPr>
        <w:pStyle w:val="ListNumber"/>
      </w:pPr>
      <w:r>
        <w:rPr>
          <w:b/>
        </w:rPr>
        <w:t>Repair sentence examples:</w:t>
      </w:r>
      <w:r>
        <w:t xml:space="preserve"> “I’m sorry I teased your looks. You are a person deserving respect.”</w:t>
      </w:r>
    </w:p>
    <w:p>
      <w:pPr>
        <w:pStyle w:val="Heading2"/>
      </w:pPr>
      <w:r>
        <w:t>Section B — scenario directions</w:t>
      </w:r>
    </w:p>
    <w:p>
      <w:pPr>
        <w:pStyle w:val="Heading3"/>
      </w:pPr>
      <w:r>
        <w:t>Sibling appearance tease</w:t>
      </w:r>
    </w:p>
    <w:p>
      <w:pPr>
        <w:pStyle w:val="ListBullet"/>
      </w:pPr>
      <w:r>
        <w:t>Mistaken: “Just a joke.”</w:t>
      </w:r>
    </w:p>
    <w:p>
      <w:pPr>
        <w:pStyle w:val="ListBullet"/>
      </w:pPr>
      <w:r>
        <w:t>Principle: Dignity; body changes, self continues; speech should be kind.</w:t>
      </w:r>
    </w:p>
    <w:p>
      <w:pPr>
        <w:pStyle w:val="ListBullet"/>
      </w:pPr>
      <w:r>
        <w:t>Response: Stop gently; affirm both; repair.</w:t>
      </w:r>
    </w:p>
    <w:p>
      <w:pPr>
        <w:pStyle w:val="ListBullet"/>
      </w:pPr>
      <w:r>
        <w:t>Action: Seven-day no appearance-joke pledge.</w:t>
      </w:r>
    </w:p>
    <w:p>
      <w:pPr>
        <w:pStyle w:val="ListBullet"/>
      </w:pPr>
      <w:r>
        <w:t>Do not say: “Toughen up”; spiritual threats.</w:t>
      </w:r>
    </w:p>
    <w:p>
      <w:pPr>
        <w:pStyle w:val="Heading3"/>
      </w:pPr>
      <w:r>
        <w:t>Fitness-as-self</w:t>
      </w:r>
    </w:p>
    <w:p>
      <w:pPr>
        <w:pStyle w:val="ListBullet"/>
      </w:pPr>
      <w:r>
        <w:t xml:space="preserve">Mistaken: “Body project </w:t>
      </w:r>
      <w:r>
        <w:rPr>
          <w:i/>
        </w:rPr>
        <w:t>is</w:t>
      </w:r>
      <w:r>
        <w:t xml:space="preserve"> the self.”</w:t>
      </w:r>
    </w:p>
    <w:p>
      <w:pPr>
        <w:pStyle w:val="ListBullet"/>
      </w:pPr>
      <w:r>
        <w:t>Principle: Care ≠ identity collapse into metrics.</w:t>
      </w:r>
    </w:p>
    <w:p>
      <w:pPr>
        <w:pStyle w:val="ListBullet"/>
      </w:pPr>
      <w:r>
        <w:t>Response: Affirm health; add non-body practice (memory line / service).</w:t>
      </w:r>
    </w:p>
    <w:p>
      <w:pPr>
        <w:pStyle w:val="ListBullet"/>
      </w:pPr>
      <w:r>
        <w:t>Do not say: “Fitness is māyā — stop exercising.”</w:t>
      </w:r>
    </w:p>
    <w:p>
      <w:pPr>
        <w:pStyle w:val="Heading3"/>
      </w:pPr>
      <w:r>
        <w:t>Public weight question</w:t>
      </w:r>
    </w:p>
    <w:p>
      <w:pPr>
        <w:pStyle w:val="ListBullet"/>
      </w:pPr>
      <w:r>
        <w:t>Mistaken: “Public body talk is fine.”</w:t>
      </w:r>
    </w:p>
    <w:p>
      <w:pPr>
        <w:pStyle w:val="ListBullet"/>
      </w:pPr>
      <w:r>
        <w:t>Principle: Privacy + respect; body not public property.</w:t>
      </w:r>
    </w:p>
    <w:p>
      <w:pPr>
        <w:pStyle w:val="ListBullet"/>
      </w:pPr>
      <w:r>
        <w:t>Response: Warm subject change; protect child.</w:t>
      </w:r>
    </w:p>
    <w:p>
      <w:pPr>
        <w:pStyle w:val="ListBullet"/>
      </w:pPr>
      <w:r>
        <w:t>Action: Parents pre-agree redirect line.</w:t>
      </w:r>
    </w:p>
    <w:p>
      <w:pPr>
        <w:pStyle w:val="ListBullet"/>
      </w:pPr>
      <w:r>
        <w:t>Do not say: Announce stats; angry public lecture using child as prop.</w:t>
      </w:r>
    </w:p>
    <w:p>
      <w:pPr>
        <w:pStyle w:val="Heading2"/>
      </w:pPr>
      <w:r>
        <w:t>Section C — diagram</w:t>
      </w:r>
    </w:p>
    <w:p>
      <w:r>
        <w:t>Accept coherent chain. Kind-speech cell circled with short echo. Reframe private trauma disclosures privately.</w:t>
      </w:r>
    </w:p>
    <w:p>
      <w:pPr>
        <w:pStyle w:val="Heading2"/>
      </w:pPr>
      <w:r>
        <w:t>Section D — forks</w:t>
      </w:r>
    </w:p>
    <w:p>
      <w:r>
        <w:rPr>
          <w:b/>
        </w:rPr>
        <w:t>R</w:t>
      </w:r>
      <w:r>
        <w:t xml:space="preserve"> = care, dignity, repair, continuity of self. </w:t>
      </w:r>
      <w:r>
        <w:rPr>
          <w:b/>
        </w:rPr>
        <w:t>M</w:t>
      </w:r>
      <w:r>
        <w:t xml:space="preserve"> = mockery, proof claims, body contempt, “just a joke” without repair.</w:t>
      </w:r>
    </w:p>
    <w:p>
      <w:pPr>
        <w:pStyle w:val="Heading2"/>
      </w:pPr>
      <w:r>
        <w:t>Section E–F</w:t>
      </w:r>
    </w:p>
    <w:p>
      <w:r>
        <w:t>Any sincere speech pledge + care act. Reflection must touch both blocked extremes.</w:t>
      </w:r>
    </w:p>
    <w:p>
      <w:pPr>
        <w:pStyle w:val="Heading2"/>
      </w:pPr>
      <w:r>
        <w:t>Scoring note</w:t>
      </w:r>
    </w:p>
    <w:p>
      <w:r>
        <w:t>Facilitation only. No public scores.</w:t>
      </w:r>
    </w:p>
    <w:p>
      <w:pPr>
        <w:pStyle w:val="Heading2"/>
      </w:pPr>
      <w:r>
        <w:t>Do not accept</w:t>
      </w:r>
    </w:p>
    <w:p>
      <w:pPr>
        <w:pStyle w:val="ListBullet"/>
      </w:pPr>
      <w:r>
        <w:t>“Science/psychology proves the soul”</w:t>
      </w:r>
    </w:p>
    <w:p>
      <w:pPr>
        <w:pStyle w:val="ListBullet"/>
      </w:pPr>
      <w:r>
        <w:t>Invented verse numbers</w:t>
      </w:r>
    </w:p>
    <w:p>
      <w:pPr>
        <w:pStyle w:val="ListBullet"/>
      </w:pPr>
      <w:r>
        <w:t>Full W3 “I am God” correction dump as if it were W2’s only point</w:t>
      </w:r>
    </w:p>
    <w:p>
      <w:pPr>
        <w:pStyle w:val="ListBullet"/>
      </w:pPr>
      <w:r>
        <w:t>Mṛgāri from wrong source (if mentioned: CC Madhya 24 only)</w:t>
      </w:r>
    </w:p>
    <w:tbl>
      <w:tblPr>
        <w:tblW w:type="auto" w:w="0"/>
        <w:jc w:val="center"/>
        <w:tblLayout w:type="fixed"/>
        <w:tblLook w:firstColumn="1" w:firstRow="1" w:lastColumn="0" w:lastRow="0" w:noHBand="0" w:noVBand="1" w:val="04A0"/>
        <w:tblBorders>
          <w:top w:val="single" w:sz="8" w:color="4F7C78"/>
          <w:left w:val="single" w:sz="8" w:color="4F7C78"/>
          <w:bottom w:val="single" w:sz="8" w:color="4F7C78"/>
          <w:right w:val="single" w:sz="8" w:color="4F7C78"/>
          <w:insideH w:val="single" w:sz="8" w:color="4F7C78"/>
          <w:insideV w:val="single" w:sz="8" w:color="4F7C78"/>
        </w:tblBorders>
      </w:tblPr>
      <w:tblGrid>
        <w:gridCol w:w="1944"/>
        <w:gridCol w:w="8136"/>
      </w:tblGrid>
      <w:tr>
        <w:tc>
          <w:tcPr>
            <w:tcW w:type="dxa" w:w="4968"/>
            <w:shd w:fill="4F7C78"/>
            <w:tcMar>
              <w:top w:w="130" w:type="dxa"/>
              <w:start w:w="140" w:type="dxa"/>
              <w:bottom w:w="130" w:type="dxa"/>
              <w:end w:w="140" w:type="dxa"/>
            </w:tcMar>
            <w:vAlign w:val="center"/>
          </w:tcPr>
          <w:p>
            <w:pPr>
              <w:pStyle w:val="KUTUMBACalloutLabel"/>
              <w:jc w:val="center"/>
            </w:pPr>
            <w:r>
              <w:t>TEACHER NOTE</w:t>
            </w:r>
          </w:p>
        </w:tc>
        <w:tc>
          <w:tcPr>
            <w:tcW w:type="dxa" w:w="4968"/>
            <w:shd w:fill="E4F0ED"/>
            <w:tcMar>
              <w:top w:w="130" w:type="dxa"/>
              <w:start w:w="140" w:type="dxa"/>
              <w:bottom w:w="130" w:type="dxa"/>
              <w:end w:w="140" w:type="dxa"/>
            </w:tcMar>
            <w:vAlign w:val="center"/>
          </w:tcPr>
          <w:p>
            <w:pPr>
              <w:pStyle w:val="KUTUMBACalloutBody"/>
            </w:pPr>
            <w:r>
              <w:t>Teacher-only section — do not distribute to families.</w:t>
            </w:r>
          </w:p>
        </w:tc>
      </w:tr>
    </w:tbl>
    <w:p>
      <w:pPr>
        <w:spacing w:after="20"/>
      </w:pPr>
    </w:p>
    <w:p>
      <w:r>
        <w:br w:type="page"/>
      </w:r>
    </w:p>
    <w:p>
      <w:pPr>
        <w:pStyle w:val="Heading1"/>
      </w:pPr>
      <w:r>
        <w:t>TEACHER-ONLY: Younger run sheet</w:t>
      </w:r>
    </w:p>
    <w:p>
      <w:r>
        <w:rPr>
          <w:b/>
        </w:rPr>
        <w:t>Week:</w:t>
      </w:r>
      <w:r>
        <w:t xml:space="preserve"> I Am Not This Body </w:t>
      </w:r>
      <w:r>
        <w:rPr>
          <w:b/>
        </w:rPr>
        <w:t>Primary:</w:t>
      </w:r>
      <w:r>
        <w:t xml:space="preserve"> BG 2.13 — https://vedabase.io/en/library/bg/2/13/ </w:t>
      </w:r>
      <w:r>
        <w:rPr>
          <w:b/>
        </w:rPr>
        <w:t>Session length:</w:t>
      </w:r>
      <w:r>
        <w:t xml:space="preserve"> 40 minutes (parallel track ~2:30–3:10) </w:t>
      </w:r>
      <w:r>
        <w:rPr>
          <w:b/>
        </w:rPr>
        <w:t>Parents:</w:t>
      </w:r>
      <w:r>
        <w:t xml:space="preserve"> Remain onsite; reunite at 3:10 </w:t>
      </w:r>
      <w:r>
        <w:rPr>
          <w:b/>
        </w:rPr>
        <w:t>Status:</w:t>
      </w:r>
      <w:r>
        <w:t xml:space="preserve"> Internal founding-cohort teaching material — human/temple review EXTERNAL_OPEN</w:t>
      </w:r>
    </w:p>
    <w:p>
      <w:pPr>
        <w:pStyle w:val="KUTUMBAMeta"/>
        <w:jc w:val="center"/>
      </w:pPr>
      <w:r>
        <w:t>◆  ◆  ◆</w:t>
      </w:r>
    </w:p>
    <w:p>
      <w:pPr>
        <w:pStyle w:val="Heading2"/>
      </w:pPr>
      <w:r>
        <w:t>Objective</w:t>
      </w:r>
    </w:p>
    <w:p>
      <w:r>
        <w:t xml:space="preserve">Children experience that the </w:t>
      </w:r>
      <w:r>
        <w:rPr>
          <w:b/>
        </w:rPr>
        <w:t>body changes</w:t>
      </w:r>
      <w:r>
        <w:t xml:space="preserve"> while the </w:t>
      </w:r>
      <w:r>
        <w:rPr>
          <w:b/>
        </w:rPr>
        <w:t>conscious “I” continues</w:t>
      </w:r>
      <w:r>
        <w:t>. They practice kind body-speech and take home a “care without confusing” cue card.</w:t>
      </w:r>
    </w:p>
    <w:p>
      <w:pPr>
        <w:pStyle w:val="Heading2"/>
      </w:pPr>
      <w:r>
        <w:t>Exact memory phrase</w:t>
      </w:r>
    </w:p>
    <w:p>
      <w:pPr>
        <w:pStyle w:val="Quote"/>
      </w:pPr>
      <w:r>
        <w:t>My body changes; I continue as the conscious self.</w:t>
      </w:r>
    </w:p>
    <w:p>
      <w:pPr>
        <w:pStyle w:val="Heading2"/>
      </w:pPr>
      <w:r>
        <w:t>Teacher background (2 minutes to review)</w:t>
      </w:r>
    </w:p>
    <w:p>
      <w:pPr>
        <w:pStyle w:val="ListBullet"/>
      </w:pPr>
      <w:r>
        <w:rPr>
          <w:b/>
        </w:rPr>
        <w:t>KUTUMBA teaching meaning (adult wording):</w:t>
      </w:r>
      <w:r>
        <w:t xml:space="preserve"> Just as the embodied self passes through childhood, youth, and old age in one body, the sober person is not bewildered when the self passes to another body.</w:t>
      </w:r>
    </w:p>
    <w:p>
      <w:pPr>
        <w:pStyle w:val="ListBullet"/>
      </w:pPr>
      <w:r>
        <w:rPr>
          <w:b/>
        </w:rPr>
        <w:t>Child-facing paraphrase:</w:t>
      </w:r>
      <w:r>
        <w:t xml:space="preserve"> Your body grows and changes, like clothes that get bigger. You are still you — the person who can love Kṛṣṇa. We care for our bodies; we do not tease bodies.</w:t>
      </w:r>
    </w:p>
    <w:p>
      <w:pPr>
        <w:pStyle w:val="ListBullet"/>
      </w:pPr>
      <w:r>
        <w:rPr>
          <w:b/>
        </w:rPr>
        <w:t>Block misconceptions (child words):</w:t>
      </w:r>
    </w:p>
    <w:p>
      <w:pPr>
        <w:pStyle w:val="ListBullet2"/>
      </w:pPr>
      <w:r>
        <w:t>“Photos / science prove the soul.”</w:t>
      </w:r>
    </w:p>
    <w:p>
      <w:pPr>
        <w:pStyle w:val="ListBullet2"/>
      </w:pPr>
      <w:r>
        <w:t>“Bodies don’t matter — skip care.”</w:t>
      </w:r>
    </w:p>
    <w:p>
      <w:pPr>
        <w:pStyle w:val="ListBullet2"/>
      </w:pPr>
      <w:r>
        <w:t>“Appearance jokes are fine.”</w:t>
      </w:r>
    </w:p>
    <w:p>
      <w:pPr>
        <w:pStyle w:val="ListBullet"/>
      </w:pPr>
      <w:r>
        <w:rPr>
          <w:b/>
        </w:rPr>
        <w:t>Do not:</w:t>
      </w:r>
      <w:r>
        <w:t xml:space="preserve"> invent Kṛṣṇa–Arjuna dialogue; use death scare; dump full reincarnation ontology (preview only); force body-shame stories.</w:t>
      </w:r>
    </w:p>
    <w:p>
      <w:pPr>
        <w:pStyle w:val="Heading2"/>
      </w:pPr>
      <w:r>
        <w:t>Materials</w:t>
      </w:r>
    </w:p>
    <w:p>
      <w:pPr>
        <w:pStyle w:val="ListBullet"/>
      </w:pPr>
      <w:r>
        <w:t>Three life-stage picture cards (child / youth / elder — respectful drawings, not real family photos of students)</w:t>
      </w:r>
    </w:p>
    <w:p>
      <w:pPr>
        <w:pStyle w:val="ListBullet"/>
      </w:pPr>
      <w:r>
        <w:t>Soft scarf or fabric square for “changing garments” demo</w:t>
      </w:r>
    </w:p>
    <w:p>
      <w:pPr>
        <w:pStyle w:val="ListBullet"/>
      </w:pPr>
      <w:r>
        <w:t>Card stock for Care / Self cue cards</w:t>
      </w:r>
    </w:p>
    <w:p>
      <w:pPr>
        <w:pStyle w:val="ListBullet"/>
      </w:pPr>
      <w:r>
        <w:t>Crayons / markers</w:t>
      </w:r>
    </w:p>
    <w:p>
      <w:pPr>
        <w:pStyle w:val="ListBullet"/>
      </w:pPr>
      <w:r>
        <w:t xml:space="preserve">Printed </w:t>
      </w:r>
      <w:r>
        <w:rPr>
          <w:rFonts w:ascii="Consolas" w:hAnsi="Consolas"/>
          <w:color w:val="7A263A"/>
          <w:sz w:val="18"/>
        </w:rPr>
        <w:t>visuals/V12/line-art-younger.svg</w:t>
      </w:r>
      <w:r>
        <w:t xml:space="preserve"> if available</w:t>
      </w:r>
    </w:p>
    <w:p>
      <w:pPr>
        <w:pStyle w:val="ListBullet"/>
      </w:pPr>
      <w:r>
        <w:t>Soft toss object for backup</w:t>
      </w:r>
    </w:p>
    <w:p>
      <w:pPr>
        <w:pStyle w:val="ListBullet"/>
      </w:pPr>
      <w:r>
        <w:t>Calm-corner chair</w:t>
      </w:r>
    </w:p>
    <w:p>
      <w:pPr>
        <w:pStyle w:val="Heading2"/>
      </w:pPr>
      <w:r>
        <w:t>Room setup</w:t>
      </w:r>
    </w:p>
    <w:p>
      <w:r>
        <w:t>Circle on the floor; picture cards in order on a low stand; aisles clear for Grow-and-Freeze movement.</w:t>
      </w:r>
    </w:p>
    <w:p>
      <w:pPr>
        <w:pStyle w:val="KUTUMBAMeta"/>
        <w:jc w:val="center"/>
      </w:pPr>
      <w:r>
        <w:t>◆  ◆  ◆</w:t>
      </w:r>
    </w:p>
    <w:p>
      <w:pPr>
        <w:pStyle w:val="Heading2"/>
      </w:pPr>
      <w:r>
        <w:t>Minute-by-minute executable plan</w:t>
      </w:r>
    </w:p>
    <w:p>
      <w:pPr>
        <w:pStyle w:val="Heading3"/>
      </w:pPr>
      <w:r>
        <w:t>0–5 min — Opening and recall</w:t>
      </w:r>
    </w:p>
    <w:p>
      <w:pPr>
        <w:pStyle w:val="ListNumber"/>
      </w:pPr>
      <w:r>
        <w:t>Welcome by name; feet on floor; hands in lap.</w:t>
      </w:r>
    </w:p>
    <w:p>
      <w:pPr>
        <w:pStyle w:val="ListNumber"/>
      </w:pPr>
      <w:r>
        <w:t>Show child → youth → elder cards quickly: “Bodies change.”</w:t>
      </w:r>
    </w:p>
    <w:p>
      <w:pPr>
        <w:pStyle w:val="ListNumber"/>
      </w:pPr>
      <w:r>
        <w:t xml:space="preserve">Echo memory phrase three times: </w:t>
      </w:r>
      <w:r>
        <w:rPr>
          <w:i/>
        </w:rPr>
        <w:t>My body changes; / I continue / as the conscious self.</w:t>
      </w:r>
    </w:p>
    <w:p>
      <w:pPr>
        <w:pStyle w:val="ListNumber"/>
      </w:pPr>
      <w:r>
        <w:t>Ask: “Did anyone’s shoes get too small this year?” Laugh gently; connect to change.</w:t>
      </w:r>
    </w:p>
    <w:p>
      <w:pPr>
        <w:pStyle w:val="Heading3"/>
      </w:pPr>
      <w:r>
        <w:t>5–13 min — Story script (paraphrase only; ~8 minutes)</w:t>
      </w:r>
    </w:p>
    <w:p>
      <w:r>
        <w:rPr>
          <w:b/>
        </w:rPr>
        <w:t>Say exactly this spine (do not invent deity dialogue):</w:t>
      </w:r>
    </w:p>
    <w:p>
      <w:pPr>
        <w:pStyle w:val="Quote"/>
      </w:pPr>
      <w:r>
        <w:t>Long ago, Arjuna felt heavy sadness about people he loved. His feelings were tangled with bodies and relationships. He asked Kṛṣṇa to teach him what was true. Kṛṣṇa taught that just as we pass through childhood, youth, and older age in one body, the sober person is not confused when the conscious self continues beyond one body’s stage. Clothes change; the person who wears them continues. Photos of a baby and a grown child show change — and still one “I.” We care for our bodies like a driver cares for a car. We do not call bodies trash. We do not tease how someone looks. My body changes; I continue as the conscious self.</w:t>
      </w:r>
    </w:p>
    <w:p>
      <w:r>
        <w:rPr>
          <w:b/>
        </w:rPr>
        <w:t>Story boundaries:</w:t>
      </w:r>
      <w:r>
        <w:t xml:space="preserve"> Paraphrase BG 2.13 and gentle BG 2.22 garment support only. No invented quotes. No gore. No “your body is garbage.” Full ontology waits for W3.</w:t>
      </w:r>
    </w:p>
    <w:p>
      <w:pPr>
        <w:pStyle w:val="Heading3"/>
      </w:pPr>
      <w:r>
        <w:t>13–16 min — Three wonder questions</w:t>
      </w:r>
    </w:p>
    <w:p>
      <w:pPr>
        <w:pStyle w:val="ListNumber"/>
      </w:pPr>
      <w:r>
        <w:t>What changes as we grow? (</w:t>
      </w:r>
      <w:r>
        <w:rPr>
          <w:b/>
        </w:rPr>
        <w:t>Body</w:t>
      </w:r>
      <w:r>
        <w:t xml:space="preserve"> / shoes / height)</w:t>
      </w:r>
    </w:p>
    <w:p>
      <w:pPr>
        <w:pStyle w:val="ListNumber"/>
      </w:pPr>
      <w:r>
        <w:t>Who continues — the person who can love and choose kind words? (</w:t>
      </w:r>
      <w:r>
        <w:rPr>
          <w:b/>
        </w:rPr>
        <w:t>I</w:t>
      </w:r>
      <w:r>
        <w:t xml:space="preserve"> / conscious self)</w:t>
      </w:r>
    </w:p>
    <w:p>
      <w:pPr>
        <w:pStyle w:val="ListNumber"/>
      </w:pPr>
      <w:r>
        <w:t>What is one kind thing to say (or not say) about someone’s body?</w:t>
      </w:r>
    </w:p>
    <w:p>
      <w:r>
        <w:t>Accept short answers. Affirm effort.</w:t>
      </w:r>
    </w:p>
    <w:p>
      <w:pPr>
        <w:pStyle w:val="Heading3"/>
      </w:pPr>
      <w:r>
        <w:t>16–24 min — Movement game: Grow and Freeze (steps)</w:t>
      </w:r>
    </w:p>
    <w:p>
      <w:pPr>
        <w:pStyle w:val="ListNumber"/>
      </w:pPr>
      <w:r>
        <w:t>Spread children in a safe open space.</w:t>
      </w:r>
    </w:p>
    <w:p>
      <w:pPr>
        <w:pStyle w:val="ListNumber"/>
      </w:pPr>
      <w:r>
        <w:t xml:space="preserve">Teacher calls </w:t>
      </w:r>
      <w:r>
        <w:rPr>
          <w:b/>
        </w:rPr>
        <w:t>Grow!</w:t>
      </w:r>
      <w:r>
        <w:t xml:space="preserve"> — children stretch tall slowly (body changing).</w:t>
      </w:r>
    </w:p>
    <w:p>
      <w:pPr>
        <w:pStyle w:val="ListNumber"/>
      </w:pPr>
      <w:r>
        <w:t xml:space="preserve">Teacher calls </w:t>
      </w:r>
      <w:r>
        <w:rPr>
          <w:b/>
        </w:rPr>
        <w:t>Freeze!</w:t>
      </w:r>
      <w:r>
        <w:t xml:space="preserve"> — freeze; whisper memory phrase.</w:t>
      </w:r>
    </w:p>
    <w:p>
      <w:pPr>
        <w:pStyle w:val="ListNumber"/>
      </w:pPr>
      <w:r>
        <w:t xml:space="preserve">Teacher calls </w:t>
      </w:r>
      <w:r>
        <w:rPr>
          <w:b/>
        </w:rPr>
        <w:t>Kind hands!</w:t>
      </w:r>
      <w:r>
        <w:t xml:space="preserve"> — hands on heart; smile at a neighbor (no touching without consent — wave is fine).</w:t>
      </w:r>
    </w:p>
    <w:p>
      <w:pPr>
        <w:pStyle w:val="ListNumber"/>
      </w:pPr>
      <w:r>
        <w:t>Play three rounds. On round three, show two cards: (A) tease about looks; (B) kind words. On Freeze, children point to B.</w:t>
      </w:r>
    </w:p>
    <w:p>
      <w:pPr>
        <w:pStyle w:val="ListNumber"/>
      </w:pPr>
      <w:r>
        <w:t>End seated; echo memory phrase once.</w:t>
      </w:r>
    </w:p>
    <w:p>
      <w:pPr>
        <w:pStyle w:val="Heading3"/>
      </w:pPr>
      <w:r>
        <w:t>24–32 min — Craft: Care / Self cue card (steps)</w:t>
      </w:r>
    </w:p>
    <w:p>
      <w:pPr>
        <w:pStyle w:val="ListNumber"/>
      </w:pPr>
      <w:r>
        <w:t>Give each child a folded card stock.</w:t>
      </w:r>
    </w:p>
    <w:p>
      <w:pPr>
        <w:pStyle w:val="ListNumber"/>
      </w:pPr>
      <w:r>
        <w:t xml:space="preserve">Outside left: draw a small body outline; label </w:t>
      </w:r>
      <w:r>
        <w:rPr>
          <w:b/>
        </w:rPr>
        <w:t>Care</w:t>
      </w:r>
      <w:r>
        <w:t>.</w:t>
      </w:r>
    </w:p>
    <w:p>
      <w:pPr>
        <w:pStyle w:val="ListNumber"/>
      </w:pPr>
      <w:r>
        <w:t xml:space="preserve">Outside right: draw a simple heart or “I”; label </w:t>
      </w:r>
      <w:r>
        <w:rPr>
          <w:b/>
        </w:rPr>
        <w:t>Self</w:t>
      </w:r>
      <w:r>
        <w:t>.</w:t>
      </w:r>
    </w:p>
    <w:p>
      <w:pPr>
        <w:pStyle w:val="ListNumber"/>
      </w:pPr>
      <w:r>
        <w:t xml:space="preserve">Inside, teacher/helper writes: </w:t>
      </w:r>
      <w:r>
        <w:rPr>
          <w:b/>
        </w:rPr>
        <w:t>My body changes; I continue as the conscious self.</w:t>
      </w:r>
    </w:p>
    <w:p>
      <w:pPr>
        <w:pStyle w:val="ListNumber"/>
      </w:pPr>
      <w:r>
        <w:t>On the back, child draws one kind body action (sleep, water, brush teeth) OR one kind speech bubble (“You’re a friend”).</w:t>
      </w:r>
    </w:p>
    <w:p>
      <w:pPr>
        <w:pStyle w:val="ListNumber"/>
      </w:pPr>
      <w:r>
        <w:t>Practice once: touch Care → touch Self while saying the phrase.</w:t>
      </w:r>
    </w:p>
    <w:p>
      <w:r>
        <w:t xml:space="preserve">Full printable steps also live in </w:t>
      </w:r>
      <w:r>
        <w:rPr>
          <w:rFonts w:ascii="Consolas" w:hAnsi="Consolas"/>
          <w:color w:val="7A263A"/>
          <w:sz w:val="18"/>
        </w:rPr>
        <w:t>activities/YOUNGER-ACTIVITY-PACK.md</w:t>
      </w:r>
      <w:r>
        <w:t>.</w:t>
      </w:r>
    </w:p>
    <w:p>
      <w:pPr>
        <w:pStyle w:val="Heading3"/>
      </w:pPr>
      <w:r>
        <w:t>32–35 min — Printable / coloring task</w:t>
      </w:r>
    </w:p>
    <w:p>
      <w:r>
        <w:t>Color line-art if time; otherwise keep cue card as take-home.</w:t>
      </w:r>
    </w:p>
    <w:p>
      <w:pPr>
        <w:pStyle w:val="Heading3"/>
      </w:pPr>
      <w:r>
        <w:t>35–38 min — Behavior redirects and quiet reset</w:t>
      </w:r>
    </w:p>
    <w:p>
      <w:pPr>
        <w:pStyle w:val="ListBullet"/>
      </w:pPr>
      <w:r>
        <w:rPr>
          <w:b/>
        </w:rPr>
        <w:t>Feet on floor</w:t>
      </w:r>
      <w:r>
        <w:t xml:space="preserve"> — “Feet visit the mat.”</w:t>
      </w:r>
    </w:p>
    <w:p>
      <w:pPr>
        <w:pStyle w:val="ListBullet"/>
      </w:pPr>
      <w:r>
        <w:rPr>
          <w:b/>
        </w:rPr>
        <w:t>Kind words</w:t>
      </w:r>
      <w:r>
        <w:t xml:space="preserve"> — “Use Care words.”</w:t>
      </w:r>
    </w:p>
    <w:p>
      <w:pPr>
        <w:pStyle w:val="ListBullet"/>
      </w:pPr>
      <w:r>
        <w:rPr>
          <w:b/>
        </w:rPr>
        <w:t>Toy rests</w:t>
      </w:r>
      <w:r>
        <w:t xml:space="preserve"> — “Toy naps on the shelf.”</w:t>
      </w:r>
    </w:p>
    <w:p>
      <w:pPr>
        <w:pStyle w:val="ListBullet"/>
      </w:pPr>
      <w:r>
        <w:rPr>
          <w:b/>
        </w:rPr>
        <w:t>Quiet reset</w:t>
      </w:r>
      <w:r>
        <w:t xml:space="preserve"> — calm corner with Care card; rejoin on Kind hands.</w:t>
      </w:r>
    </w:p>
    <w:p>
      <w:pPr>
        <w:pStyle w:val="Heading3"/>
      </w:pPr>
      <w:r>
        <w:t>38–40 min — Cleanup and parent handoff</w:t>
      </w:r>
    </w:p>
    <w:p>
      <w:pPr>
        <w:pStyle w:val="ListNumber"/>
      </w:pPr>
      <w:r>
        <w:t>Materials away; each child holds cue card.</w:t>
      </w:r>
    </w:p>
    <w:p>
      <w:pPr>
        <w:pStyle w:val="ListNumber"/>
      </w:pPr>
      <w:r>
        <w:t>Parent line:</w:t>
      </w:r>
    </w:p>
    <w:p>
      <w:pPr>
        <w:pStyle w:val="Quote"/>
      </w:pPr>
      <w:r>
        <w:t>Memory: “My body changes; I continue as the conscious self.” Home cue: once daily — notice one body change or one kind body-speech; say the phrase.</w:t>
      </w:r>
    </w:p>
    <w:p>
      <w:pPr>
        <w:pStyle w:val="ListNumber"/>
      </w:pPr>
      <w:r>
        <w:t>No private teasing reports in the hallway.</w:t>
      </w:r>
    </w:p>
    <w:p>
      <w:pPr>
        <w:pStyle w:val="KUTUMBAMeta"/>
        <w:jc w:val="center"/>
      </w:pPr>
      <w:r>
        <w:t>◆  ◆  ◆</w:t>
      </w:r>
    </w:p>
    <w:p>
      <w:pPr>
        <w:pStyle w:val="Heading2"/>
      </w:pPr>
      <w:r>
        <w:t>Behavior redirects (quick reference)</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3312"/>
        <w:gridCol w:w="3312"/>
        <w:gridCol w:w="3312"/>
      </w:tblGrid>
      <w:tr>
        <w:trPr>
          <w:tblHeader w:val="true"/>
        </w:trPr>
        <w:tc>
          <w:tcPr>
            <w:tcW w:type="dxa" w:w="3312"/>
            <w:shd w:fill="5B1933"/>
            <w:tcMar>
              <w:top w:w="100" w:type="dxa"/>
              <w:start w:w="120" w:type="dxa"/>
              <w:bottom w:w="100" w:type="dxa"/>
              <w:end w:w="120" w:type="dxa"/>
            </w:tcMar>
          </w:tcPr>
          <w:p>
            <w:r>
              <w:rPr>
                <w:b/>
                <w:color w:val="FFFFFF"/>
              </w:rPr>
              <w:t>Signal</w:t>
            </w:r>
          </w:p>
        </w:tc>
        <w:tc>
          <w:tcPr>
            <w:tcW w:type="dxa" w:w="3312"/>
            <w:shd w:fill="5B1933"/>
            <w:tcMar>
              <w:top w:w="100" w:type="dxa"/>
              <w:start w:w="120" w:type="dxa"/>
              <w:bottom w:w="100" w:type="dxa"/>
              <w:end w:w="120" w:type="dxa"/>
            </w:tcMar>
          </w:tcPr>
          <w:p>
            <w:r>
              <w:rPr>
                <w:b/>
                <w:color w:val="FFFFFF"/>
              </w:rPr>
              <w:t>Teacher line</w:t>
            </w:r>
          </w:p>
        </w:tc>
        <w:tc>
          <w:tcPr>
            <w:tcW w:type="dxa" w:w="3312"/>
            <w:shd w:fill="5B1933"/>
            <w:tcMar>
              <w:top w:w="100" w:type="dxa"/>
              <w:start w:w="120" w:type="dxa"/>
              <w:bottom w:w="100" w:type="dxa"/>
              <w:end w:w="120" w:type="dxa"/>
            </w:tcMar>
          </w:tcPr>
          <w:p>
            <w:r>
              <w:rPr>
                <w:b/>
                <w:color w:val="FFFFFF"/>
              </w:rPr>
              <w:t>Child action</w:t>
            </w:r>
          </w:p>
        </w:tc>
      </w:tr>
      <w:tr>
        <w:tc>
          <w:tcPr>
            <w:tcW w:type="dxa" w:w="3312"/>
            <w:tcMar>
              <w:top w:w="100" w:type="dxa"/>
              <w:start w:w="120" w:type="dxa"/>
              <w:bottom w:w="100" w:type="dxa"/>
              <w:end w:w="120" w:type="dxa"/>
            </w:tcMar>
            <w:vAlign w:val="top"/>
          </w:tcPr>
          <w:p>
            <w:r>
              <w:t>Appearance tease</w:t>
            </w:r>
          </w:p>
        </w:tc>
        <w:tc>
          <w:tcPr>
            <w:tcW w:type="dxa" w:w="3312"/>
            <w:tcMar>
              <w:top w:w="100" w:type="dxa"/>
              <w:start w:w="120" w:type="dxa"/>
              <w:bottom w:w="100" w:type="dxa"/>
              <w:end w:w="120" w:type="dxa"/>
            </w:tcMar>
            <w:vAlign w:val="top"/>
          </w:tcPr>
          <w:p>
            <w:r>
              <w:t>“Care words only.”</w:t>
            </w:r>
          </w:p>
        </w:tc>
        <w:tc>
          <w:tcPr>
            <w:tcW w:type="dxa" w:w="3312"/>
            <w:tcMar>
              <w:top w:w="100" w:type="dxa"/>
              <w:start w:w="120" w:type="dxa"/>
              <w:bottom w:w="100" w:type="dxa"/>
              <w:end w:w="120" w:type="dxa"/>
            </w:tcMar>
            <w:vAlign w:val="top"/>
          </w:tcPr>
          <w:p>
            <w:r>
              <w:t>Repair sentence</w:t>
            </w:r>
          </w:p>
        </w:tc>
      </w:tr>
      <w:tr>
        <w:tc>
          <w:tcPr>
            <w:tcW w:type="dxa" w:w="3312"/>
            <w:tcMar>
              <w:top w:w="100" w:type="dxa"/>
              <w:start w:w="120" w:type="dxa"/>
              <w:bottom w:w="100" w:type="dxa"/>
              <w:end w:w="120" w:type="dxa"/>
            </w:tcMar>
            <w:shd w:fill="FFF8E8"/>
            <w:vAlign w:val="top"/>
          </w:tcPr>
          <w:p>
            <w:r>
              <w:t>Running</w:t>
            </w:r>
          </w:p>
        </w:tc>
        <w:tc>
          <w:tcPr>
            <w:tcW w:type="dxa" w:w="3312"/>
            <w:tcMar>
              <w:top w:w="100" w:type="dxa"/>
              <w:start w:w="120" w:type="dxa"/>
              <w:bottom w:w="100" w:type="dxa"/>
              <w:end w:w="120" w:type="dxa"/>
            </w:tcMar>
            <w:shd w:fill="FFF8E8"/>
            <w:vAlign w:val="top"/>
          </w:tcPr>
          <w:p>
            <w:r>
              <w:t>“Freeze bodies.”</w:t>
            </w:r>
          </w:p>
        </w:tc>
        <w:tc>
          <w:tcPr>
            <w:tcW w:type="dxa" w:w="3312"/>
            <w:tcMar>
              <w:top w:w="100" w:type="dxa"/>
              <w:start w:w="120" w:type="dxa"/>
              <w:bottom w:w="100" w:type="dxa"/>
              <w:end w:w="120" w:type="dxa"/>
            </w:tcMar>
            <w:shd w:fill="FFF8E8"/>
            <w:vAlign w:val="top"/>
          </w:tcPr>
          <w:p>
            <w:r>
              <w:t>Freeze, walk</w:t>
            </w:r>
          </w:p>
        </w:tc>
      </w:tr>
      <w:tr>
        <w:tc>
          <w:tcPr>
            <w:tcW w:type="dxa" w:w="3312"/>
            <w:tcMar>
              <w:top w:w="100" w:type="dxa"/>
              <w:start w:w="120" w:type="dxa"/>
              <w:bottom w:w="100" w:type="dxa"/>
              <w:end w:w="120" w:type="dxa"/>
            </w:tcMar>
            <w:vAlign w:val="top"/>
          </w:tcPr>
          <w:p>
            <w:r>
              <w:t>Loud shout</w:t>
            </w:r>
          </w:p>
        </w:tc>
        <w:tc>
          <w:tcPr>
            <w:tcW w:type="dxa" w:w="3312"/>
            <w:tcMar>
              <w:top w:w="100" w:type="dxa"/>
              <w:start w:w="120" w:type="dxa"/>
              <w:bottom w:w="100" w:type="dxa"/>
              <w:end w:w="120" w:type="dxa"/>
            </w:tcMar>
            <w:vAlign w:val="top"/>
          </w:tcPr>
          <w:p>
            <w:r>
              <w:t>“Soft self voice.”</w:t>
            </w:r>
          </w:p>
        </w:tc>
        <w:tc>
          <w:tcPr>
            <w:tcW w:type="dxa" w:w="3312"/>
            <w:tcMar>
              <w:top w:w="100" w:type="dxa"/>
              <w:start w:w="120" w:type="dxa"/>
              <w:bottom w:w="100" w:type="dxa"/>
              <w:end w:w="120" w:type="dxa"/>
            </w:tcMar>
            <w:vAlign w:val="top"/>
          </w:tcPr>
          <w:p>
            <w:r>
              <w:t>Soft repeat</w:t>
            </w:r>
          </w:p>
        </w:tc>
      </w:tr>
      <w:tr>
        <w:tc>
          <w:tcPr>
            <w:tcW w:type="dxa" w:w="3312"/>
            <w:tcMar>
              <w:top w:w="100" w:type="dxa"/>
              <w:start w:w="120" w:type="dxa"/>
              <w:bottom w:w="100" w:type="dxa"/>
              <w:end w:w="120" w:type="dxa"/>
            </w:tcMar>
            <w:shd w:fill="FFF8E8"/>
            <w:vAlign w:val="top"/>
          </w:tcPr>
          <w:p>
            <w:r>
              <w:t>Shutdown</w:t>
            </w:r>
          </w:p>
        </w:tc>
        <w:tc>
          <w:tcPr>
            <w:tcW w:type="dxa" w:w="3312"/>
            <w:tcMar>
              <w:top w:w="100" w:type="dxa"/>
              <w:start w:w="120" w:type="dxa"/>
              <w:bottom w:w="100" w:type="dxa"/>
              <w:end w:w="120" w:type="dxa"/>
            </w:tcMar>
            <w:shd w:fill="FFF8E8"/>
            <w:vAlign w:val="top"/>
          </w:tcPr>
          <w:p>
            <w:r>
              <w:t>“Quiet reset okay.”</w:t>
            </w:r>
          </w:p>
        </w:tc>
        <w:tc>
          <w:tcPr>
            <w:tcW w:type="dxa" w:w="3312"/>
            <w:tcMar>
              <w:top w:w="100" w:type="dxa"/>
              <w:start w:w="120" w:type="dxa"/>
              <w:bottom w:w="100" w:type="dxa"/>
              <w:end w:w="120" w:type="dxa"/>
            </w:tcMar>
            <w:shd w:fill="FFF8E8"/>
            <w:vAlign w:val="top"/>
          </w:tcPr>
          <w:p>
            <w:r>
              <w:t>Calm corner 60 sec</w:t>
            </w:r>
          </w:p>
        </w:tc>
      </w:tr>
    </w:tbl>
    <w:p>
      <w:pPr>
        <w:spacing w:after="40"/>
      </w:pPr>
    </w:p>
    <w:p>
      <w:pPr>
        <w:pStyle w:val="Heading2"/>
      </w:pPr>
      <w:r>
        <w:t>Backup low-prep</w:t>
      </w:r>
    </w:p>
    <w:p>
      <w:pPr>
        <w:pStyle w:val="ListNumber"/>
      </w:pPr>
      <w:r>
        <w:t>Circle with soft toss object.</w:t>
      </w:r>
    </w:p>
    <w:p>
      <w:pPr>
        <w:pStyle w:val="ListNumber"/>
      </w:pPr>
      <w:r>
        <w:t>Catch → say “change” or “continue” or “kind.”</w:t>
      </w:r>
    </w:p>
    <w:p>
      <w:pPr>
        <w:pStyle w:val="ListNumber"/>
      </w:pPr>
      <w:r>
        <w:t>Three echoes of memory phrase.</w:t>
      </w:r>
    </w:p>
    <w:p>
      <w:pPr>
        <w:pStyle w:val="ListNumber"/>
      </w:pPr>
      <w:r>
        <w:t>Optional: wrap/unwrap scarf once as garment demo.</w:t>
      </w:r>
    </w:p>
    <w:p>
      <w:pPr>
        <w:pStyle w:val="Heading2"/>
      </w:pPr>
      <w:r>
        <w:t>What success looks like</w:t>
      </w:r>
    </w:p>
    <w:p>
      <w:pPr>
        <w:pStyle w:val="ListBullet"/>
      </w:pPr>
      <w:r>
        <w:t>Child can show Care vs Self on the card.</w:t>
      </w:r>
    </w:p>
    <w:p>
      <w:pPr>
        <w:pStyle w:val="ListBullet"/>
      </w:pPr>
      <w:r>
        <w:t>Child can echo the memory phrase.</w:t>
      </w:r>
    </w:p>
    <w:p>
      <w:pPr>
        <w:pStyle w:val="ListBullet"/>
      </w:pPr>
      <w:r>
        <w:t>Child can name one kind body-speech or care act.</w:t>
      </w:r>
    </w:p>
    <w:p>
      <w:pPr>
        <w:pStyle w:val="Heading2"/>
      </w:pPr>
      <w:r>
        <w:t>Boundaries</w:t>
      </w:r>
    </w:p>
    <w:p>
      <w:pPr>
        <w:pStyle w:val="ListBullet"/>
      </w:pPr>
      <w:r>
        <w:t>Snack/water only at main schedule (3:30).</w:t>
      </w:r>
    </w:p>
    <w:p>
      <w:pPr>
        <w:pStyle w:val="ListBullet"/>
      </w:pPr>
      <w:r>
        <w:t>No weekly meal language.</w:t>
      </w:r>
    </w:p>
    <w:p>
      <w:pPr>
        <w:pStyle w:val="ListBullet"/>
      </w:pPr>
      <w:r>
        <w:t>Psychology/photos are pedagogy — never “proof of the soul.”</w:t>
      </w:r>
    </w:p>
    <w:p>
      <w:pPr>
        <w:pStyle w:val="ListBullet"/>
      </w:pPr>
      <w:r>
        <w:t>No forced confession of home teasing.</w:t>
      </w:r>
    </w:p>
    <w:p>
      <w:pPr>
        <w:pStyle w:val="Heading1"/>
      </w:pPr>
      <w:r>
        <w:t>TEACHER-ONLY: Older run sheet</w:t>
      </w:r>
    </w:p>
    <w:p>
      <w:r>
        <w:rPr>
          <w:b/>
        </w:rPr>
        <w:t>Week:</w:t>
      </w:r>
      <w:r>
        <w:t xml:space="preserve"> I Am Not This Body </w:t>
      </w:r>
      <w:r>
        <w:rPr>
          <w:b/>
        </w:rPr>
        <w:t>Primary:</w:t>
      </w:r>
      <w:r>
        <w:t xml:space="preserve"> BG 2.13 — https://vedabase.io/en/library/bg/2/13/ </w:t>
      </w:r>
      <w:r>
        <w:rPr>
          <w:b/>
        </w:rPr>
        <w:t>Session length:</w:t>
      </w:r>
      <w:r>
        <w:t xml:space="preserve"> ~40 minutes (parallel track ~2:30–3:10) </w:t>
      </w:r>
      <w:r>
        <w:rPr>
          <w:b/>
        </w:rPr>
        <w:t>Parents:</w:t>
      </w:r>
      <w:r>
        <w:t xml:space="preserve"> Remain onsite; reunite at 3:10 </w:t>
      </w:r>
      <w:r>
        <w:rPr>
          <w:b/>
        </w:rPr>
        <w:t>Status:</w:t>
      </w:r>
      <w:r>
        <w:t xml:space="preserve"> Internal founding-cohort teaching material — human/temple review EXTERNAL_OPEN</w:t>
      </w:r>
    </w:p>
    <w:p>
      <w:pPr>
        <w:pStyle w:val="KUTUMBAMeta"/>
        <w:jc w:val="center"/>
      </w:pPr>
      <w:r>
        <w:t>◆  ◆  ◆</w:t>
      </w:r>
    </w:p>
    <w:p>
      <w:pPr>
        <w:pStyle w:val="Heading2"/>
      </w:pPr>
      <w:r>
        <w:t>Objective</w:t>
      </w:r>
    </w:p>
    <w:p>
      <w:r>
        <w:t xml:space="preserve">Students observe BG 2.13, explain that the body changes while the conscious self continues, map Care-without-confusion, practice respectful body speech, and contribute one project sentence answering: </w:t>
      </w:r>
      <w:r>
        <w:rPr>
          <w:b/>
        </w:rPr>
        <w:t>How should knowing I am not only this body change how we speak about bodies?</w:t>
      </w:r>
    </w:p>
    <w:p>
      <w:pPr>
        <w:pStyle w:val="Heading2"/>
      </w:pPr>
      <w:r>
        <w:t>Exact memory phrase</w:t>
      </w:r>
    </w:p>
    <w:p>
      <w:pPr>
        <w:pStyle w:val="Quote"/>
      </w:pPr>
      <w:r>
        <w:t>My body changes; I continue as the conscious self.</w:t>
      </w:r>
    </w:p>
    <w:p>
      <w:r>
        <w:rPr>
          <w:b/>
        </w:rPr>
        <w:t>Short echo:</w:t>
      </w:r>
      <w:r>
        <w:t xml:space="preserve"> Care for the body; don’t confuse it with the self.</w:t>
      </w:r>
    </w:p>
    <w:p>
      <w:pPr>
        <w:pStyle w:val="Heading2"/>
      </w:pPr>
      <w:r>
        <w:t>Teacher background</w:t>
      </w:r>
    </w:p>
    <w:p>
      <w:pPr>
        <w:pStyle w:val="ListBullet"/>
      </w:pPr>
      <w:r>
        <w:rPr>
          <w:b/>
        </w:rPr>
        <w:t>KUTUMBA teaching meaning:</w:t>
      </w:r>
      <w:r>
        <w:t xml:space="preserve"> Just as the embodied self passes through childhood, youth, and old age in one body, the sober person is not bewildered when the self passes to another body. (Label as KUTUMBA teaching meaning — not as BBT translation.)</w:t>
      </w:r>
    </w:p>
    <w:p>
      <w:pPr>
        <w:pStyle w:val="ListBullet"/>
      </w:pPr>
      <w:r>
        <w:rPr>
          <w:b/>
        </w:rPr>
        <w:t>Supporting frames (one sentence each):</w:t>
      </w:r>
      <w:r>
        <w:t xml:space="preserve"> BG 2.22 — garments analogy with limits (clothes chosen; bodies not costumes for mockery); BG 2.20 — preview only (deep teaching next week).</w:t>
      </w:r>
    </w:p>
    <w:p>
      <w:pPr>
        <w:pStyle w:val="ListBullet"/>
      </w:pPr>
      <w:r>
        <w:rPr>
          <w:b/>
        </w:rPr>
        <w:t>Block:</w:t>
      </w:r>
      <w:r>
        <w:t xml:space="preserve"> “Psychology or photos prove the soul” and “Body neglect is spiritual” and “Appearance jokes are harmless.”</w:t>
      </w:r>
    </w:p>
    <w:p>
      <w:pPr>
        <w:pStyle w:val="ListBullet"/>
      </w:pPr>
      <w:r>
        <w:rPr>
          <w:b/>
        </w:rPr>
        <w:t>Scope:</w:t>
      </w:r>
      <w:r>
        <w:t xml:space="preserve"> No full jīva ontology dump (W3); no rarity scare (W4).</w:t>
      </w:r>
    </w:p>
    <w:p>
      <w:pPr>
        <w:pStyle w:val="Heading2"/>
      </w:pPr>
      <w:r>
        <w:t>Materials</w:t>
      </w:r>
    </w:p>
    <w:p>
      <w:pPr>
        <w:pStyle w:val="ListBullet"/>
      </w:pPr>
      <w:r>
        <w:t>Printed verse strip: Devanāgarī + IAST + KUTUMBA teaching meaning</w:t>
      </w:r>
    </w:p>
    <w:p>
      <w:pPr>
        <w:pStyle w:val="ListBullet"/>
      </w:pPr>
      <w:r>
        <w:t xml:space="preserve">Worksheet copies from </w:t>
      </w:r>
      <w:r>
        <w:rPr>
          <w:rFonts w:ascii="Consolas" w:hAnsi="Consolas"/>
          <w:color w:val="7A263A"/>
          <w:sz w:val="18"/>
        </w:rPr>
        <w:t>activities/OLDER-ACTIVITY-PACK.md</w:t>
      </w:r>
    </w:p>
    <w:p>
      <w:pPr>
        <w:pStyle w:val="ListBullet"/>
      </w:pPr>
      <w:r>
        <w:t>Scenario cards (sibling appearance tease; fitness-as-self; public weight question — fictional)</w:t>
      </w:r>
    </w:p>
    <w:p>
      <w:pPr>
        <w:pStyle w:val="ListBullet"/>
      </w:pPr>
      <w:r>
        <w:t>Care–Self / driver–vehicle diagram sheet</w:t>
      </w:r>
    </w:p>
    <w:p>
      <w:pPr>
        <w:pStyle w:val="ListBullet"/>
      </w:pPr>
      <w:r>
        <w:t xml:space="preserve">Pencils; timer; answer key </w:t>
      </w:r>
      <w:r>
        <w:rPr>
          <w:rFonts w:ascii="Consolas" w:hAnsi="Consolas"/>
          <w:color w:val="7A263A"/>
          <w:sz w:val="18"/>
        </w:rPr>
        <w:t>activities/OLDER-ANSWER-KEY.md</w:t>
      </w:r>
      <w:r>
        <w:t xml:space="preserve"> for teacher only</w:t>
      </w:r>
    </w:p>
    <w:p>
      <w:pPr>
        <w:pStyle w:val="ListBullet"/>
      </w:pPr>
      <w:r>
        <w:t>Project contribution half-sheets</w:t>
      </w:r>
    </w:p>
    <w:p>
      <w:pPr>
        <w:pStyle w:val="ListBullet"/>
      </w:pPr>
      <w:r>
        <w:rPr>
          <w:b/>
        </w:rPr>
        <w:t>R</w:t>
      </w:r>
      <w:r>
        <w:t xml:space="preserve"> / </w:t>
      </w:r>
      <w:r>
        <w:rPr>
          <w:b/>
        </w:rPr>
        <w:t>M</w:t>
      </w:r>
      <w:r>
        <w:t xml:space="preserve"> fork cards (Respectful / Mistaken)</w:t>
      </w:r>
    </w:p>
    <w:p>
      <w:pPr>
        <w:pStyle w:val="KUTUMBAMeta"/>
        <w:jc w:val="center"/>
      </w:pPr>
      <w:r>
        <w:t>◆  ◆  ◆</w:t>
      </w:r>
    </w:p>
    <w:p>
      <w:pPr>
        <w:pStyle w:val="Heading2"/>
      </w:pPr>
      <w:r>
        <w:t>Minute-by-minute plan</w:t>
      </w:r>
    </w:p>
    <w:p>
      <w:pPr>
        <w:pStyle w:val="Heading3"/>
      </w:pPr>
      <w:r>
        <w:t>0–5 min — Settle and hook</w:t>
      </w:r>
    </w:p>
    <w:p>
      <w:pPr>
        <w:pStyle w:val="ListNumber"/>
      </w:pPr>
      <w:r>
        <w:t>Welcome; feet on floor.</w:t>
      </w:r>
    </w:p>
    <w:p>
      <w:pPr>
        <w:pStyle w:val="ListNumber"/>
      </w:pPr>
      <w:r>
        <w:t>Hook: “Which is worse as a teaching error — treating the body as the whole self, or treating the body as trash?” Let two volunteers answer; hold both as incomplete extremes.</w:t>
      </w:r>
    </w:p>
    <w:p>
      <w:pPr>
        <w:pStyle w:val="ListNumber"/>
      </w:pPr>
      <w:r>
        <w:t>State essential question: How should knowing I am not only this body change how we speak about bodies?</w:t>
      </w:r>
    </w:p>
    <w:p>
      <w:pPr>
        <w:pStyle w:val="Heading3"/>
      </w:pPr>
      <w:r>
        <w:t>5–14 min — Primary text observation (BG 2.13)</w:t>
      </w:r>
    </w:p>
    <w:p>
      <w:pPr>
        <w:pStyle w:val="ListNumber"/>
      </w:pPr>
      <w:r>
        <w:t>Display verse; read IAST aloud together once; teacher reads Devanāgarī slowly or plays authorized audio if available.</w:t>
      </w:r>
    </w:p>
    <w:p>
      <w:pPr>
        <w:pStyle w:val="ListNumber"/>
      </w:pPr>
      <w:r>
        <w:t xml:space="preserve">Students underline three idea-clusters in the teaching meaning: </w:t>
      </w:r>
      <w:r>
        <w:rPr>
          <w:b/>
        </w:rPr>
        <w:t>childhood–youth–old age</w:t>
      </w:r>
      <w:r>
        <w:t xml:space="preserve">, </w:t>
      </w:r>
      <w:r>
        <w:rPr>
          <w:b/>
        </w:rPr>
        <w:t>embodied self</w:t>
      </w:r>
      <w:r>
        <w:t xml:space="preserve">, </w:t>
      </w:r>
      <w:r>
        <w:rPr>
          <w:b/>
        </w:rPr>
        <w:t>not bewildered</w:t>
      </w:r>
      <w:r>
        <w:t>.</w:t>
      </w:r>
    </w:p>
    <w:p>
      <w:pPr>
        <w:pStyle w:val="ListNumber"/>
      </w:pPr>
      <w:r>
        <w:t>Observation prompts (write short answers):</w:t>
      </w:r>
    </w:p>
    <w:p>
      <w:pPr>
        <w:pStyle w:val="ListBullet2"/>
      </w:pPr>
      <w:r>
        <w:t>What changes inside one body according to the verse?</w:t>
      </w:r>
    </w:p>
    <w:p>
      <w:pPr>
        <w:pStyle w:val="ListBullet2"/>
      </w:pPr>
      <w:r>
        <w:t>Who is not bewildered when passage continues?</w:t>
      </w:r>
    </w:p>
    <w:p>
      <w:pPr>
        <w:pStyle w:val="ListBullet2"/>
      </w:pPr>
      <w:r>
        <w:t xml:space="preserve">What does this verse </w:t>
      </w:r>
      <w:r>
        <w:rPr>
          <w:b/>
        </w:rPr>
        <w:t>not</w:t>
      </w:r>
      <w:r>
        <w:t xml:space="preserve"> authorize? (mockery; body contempt; lab proof of ātman)</w:t>
      </w:r>
    </w:p>
    <w:p>
      <w:pPr>
        <w:pStyle w:val="ListNumber"/>
      </w:pPr>
      <w:r>
        <w:t>Add one-sentence bridges:</w:t>
      </w:r>
    </w:p>
    <w:p>
      <w:pPr>
        <w:pStyle w:val="ListBullet2"/>
      </w:pPr>
      <w:r>
        <w:t>BG 2.22 — garments support continuity teaching; limits: bodies deserve care; not fashion props for jokes.</w:t>
      </w:r>
    </w:p>
    <w:p>
      <w:pPr>
        <w:pStyle w:val="ListBullet2"/>
      </w:pPr>
      <w:r>
        <w:t>BG 2.20 — preview only: soul not slain when body is — deep teaching next week.</w:t>
      </w:r>
    </w:p>
    <w:p>
      <w:pPr>
        <w:pStyle w:val="ListNumber"/>
      </w:pPr>
      <w:r>
        <w:t>Paraphrase only; no invented Kṛṣṇa–Arjuna dialogue; no gore.</w:t>
      </w:r>
    </w:p>
    <w:p>
      <w:pPr>
        <w:pStyle w:val="Heading3"/>
      </w:pPr>
      <w:r>
        <w:t>14–22 min — Worksheet questions</w:t>
      </w:r>
    </w:p>
    <w:p>
      <w:r>
        <w:t>Students complete Section A of the older activity pack:</w:t>
      </w:r>
    </w:p>
    <w:p>
      <w:pPr>
        <w:pStyle w:val="ListNumber"/>
      </w:pPr>
      <w:r>
        <w:t>Restate KUTUMBA teaching meaning in their own words (one sentence).</w:t>
      </w:r>
    </w:p>
    <w:p>
      <w:pPr>
        <w:pStyle w:val="ListNumber"/>
      </w:pPr>
      <w:r>
        <w:t>Name two body changes everyone recognizes.</w:t>
      </w:r>
    </w:p>
    <w:p>
      <w:pPr>
        <w:pStyle w:val="ListNumber"/>
      </w:pPr>
      <w:r>
        <w:t>Name one way to care for the body as service readiness (not identity).</w:t>
      </w:r>
    </w:p>
    <w:p>
      <w:pPr>
        <w:pStyle w:val="ListNumber"/>
      </w:pPr>
      <w:r>
        <w:t xml:space="preserve">Why don’t photos </w:t>
      </w:r>
      <w:r>
        <w:rPr>
          <w:b/>
        </w:rPr>
        <w:t>prove</w:t>
      </w:r>
      <w:r>
        <w:t xml:space="preserve"> the soul?</w:t>
      </w:r>
    </w:p>
    <w:p>
      <w:pPr>
        <w:pStyle w:val="ListNumber"/>
      </w:pPr>
      <w:r>
        <w:t>Why is “bodies don’t matter” not this week’s teaching?</w:t>
      </w:r>
    </w:p>
    <w:p>
      <w:pPr>
        <w:pStyle w:val="ListNumber"/>
      </w:pPr>
      <w:r>
        <w:t>Rewrite “It’s just a joke” into a repair sentence after appearance teasing.</w:t>
      </w:r>
    </w:p>
    <w:p>
      <w:r>
        <w:t xml:space="preserve">Teacher circulates; use </w:t>
      </w:r>
      <w:r>
        <w:rPr>
          <w:rFonts w:ascii="Consolas" w:hAnsi="Consolas"/>
          <w:color w:val="7A263A"/>
          <w:sz w:val="18"/>
        </w:rPr>
        <w:t>OLDER-ANSWER-KEY.md</w:t>
      </w:r>
      <w:r>
        <w:t xml:space="preserve"> for expected directions (not for grading ranks).</w:t>
      </w:r>
    </w:p>
    <w:p>
      <w:pPr>
        <w:pStyle w:val="Heading3"/>
      </w:pPr>
      <w:r>
        <w:t>22–28 min — Scenario cards (small groups)</w:t>
      </w:r>
    </w:p>
    <w:p>
      <w:r>
        <w:t>Each group gets one fictional card:</w:t>
      </w:r>
    </w:p>
    <w:p>
      <w:r>
        <w:rPr>
          <w:b/>
        </w:rPr>
        <w:t>Card A — Sibling appearance tease at snack:</w:t>
      </w:r>
      <w:r>
        <w:t xml:space="preserve"> Mistaken line: “Just a joke.” </w:t>
      </w:r>
      <w:r>
        <w:rPr>
          <w:b/>
        </w:rPr>
        <w:t>Card B — Teen identity = fitness metrics:</w:t>
      </w:r>
      <w:r>
        <w:t xml:space="preserve"> Mistaken line: “The body project </w:t>
      </w:r>
      <w:r>
        <w:rPr>
          <w:i/>
        </w:rPr>
        <w:t>is</w:t>
      </w:r>
      <w:r>
        <w:t xml:space="preserve"> the self.” </w:t>
      </w:r>
      <w:r>
        <w:rPr>
          <w:b/>
        </w:rPr>
        <w:t>Card C — Relative asks weight publicly:</w:t>
      </w:r>
      <w:r>
        <w:t xml:space="preserve"> Mistaken line: “Public body talk is fine.”</w:t>
      </w:r>
    </w:p>
    <w:p>
      <w:r>
        <w:t>For each card, group writes:</w:t>
      </w:r>
    </w:p>
    <w:p>
      <w:pPr>
        <w:pStyle w:val="ListNumber"/>
      </w:pPr>
      <w:r>
        <w:t>Mistaken conclusion</w:t>
      </w:r>
    </w:p>
    <w:p>
      <w:pPr>
        <w:pStyle w:val="ListNumber"/>
      </w:pPr>
      <w:r>
        <w:t>Principle from BG 2.13 (one sentence)</w:t>
      </w:r>
    </w:p>
    <w:p>
      <w:pPr>
        <w:pStyle w:val="ListNumber"/>
      </w:pPr>
      <w:r>
        <w:t>Compassionate response</w:t>
      </w:r>
    </w:p>
    <w:p>
      <w:pPr>
        <w:pStyle w:val="ListNumber"/>
      </w:pPr>
      <w:r>
        <w:t>Better family action</w:t>
      </w:r>
    </w:p>
    <w:p>
      <w:pPr>
        <w:pStyle w:val="ListNumber"/>
      </w:pPr>
      <w:r>
        <w:t xml:space="preserve">One sentence they should </w:t>
      </w:r>
      <w:r>
        <w:rPr>
          <w:b/>
        </w:rPr>
        <w:t>not</w:t>
      </w:r>
      <w:r>
        <w:t xml:space="preserve"> say (shame, ranking, or public exposure)</w:t>
      </w:r>
    </w:p>
    <w:p>
      <w:r>
        <w:t>Share one insight per group (60 seconds).</w:t>
      </w:r>
    </w:p>
    <w:p>
      <w:pPr>
        <w:pStyle w:val="Heading3"/>
      </w:pPr>
      <w:r>
        <w:t>28–33 min — Puzzle / game: Respectful Fork</w:t>
      </w:r>
    </w:p>
    <w:p>
      <w:pPr>
        <w:pStyle w:val="ListNumber"/>
      </w:pPr>
      <w:r>
        <w:t>Teacher reads a short fork aloud (two endings about body speech or care).</w:t>
      </w:r>
    </w:p>
    <w:p>
      <w:pPr>
        <w:pStyle w:val="ListNumber"/>
      </w:pPr>
      <w:r>
        <w:t xml:space="preserve">Teams hold up </w:t>
      </w:r>
      <w:r>
        <w:rPr>
          <w:b/>
        </w:rPr>
        <w:t>R</w:t>
      </w:r>
      <w:r>
        <w:t xml:space="preserve"> (respectful / aligned) or </w:t>
      </w:r>
      <w:r>
        <w:rPr>
          <w:b/>
        </w:rPr>
        <w:t>M</w:t>
      </w:r>
      <w:r>
        <w:t xml:space="preserve"> (mistaken).</w:t>
      </w:r>
    </w:p>
    <w:p>
      <w:pPr>
        <w:pStyle w:val="ListNumber"/>
      </w:pPr>
      <w:r>
        <w:t>Three rounds, then students explain one “R” choice using the words care or self continues.</w:t>
      </w:r>
    </w:p>
    <w:p>
      <w:pPr>
        <w:pStyle w:val="ListNumber"/>
      </w:pPr>
      <w:r>
        <w:t>Keep energy respectful; no mocking wrong holds.</w:t>
      </w:r>
    </w:p>
    <w:p>
      <w:r>
        <w:t>Sample forks (paraphrase freely):</w:t>
      </w:r>
    </w:p>
    <w:p>
      <w:pPr>
        <w:pStyle w:val="ListBullet"/>
      </w:pPr>
      <w:r>
        <w:t>Tease vs repair after a height comment</w:t>
      </w:r>
    </w:p>
    <w:p>
      <w:pPr>
        <w:pStyle w:val="ListBullet"/>
      </w:pPr>
      <w:r>
        <w:t>Skip sleep “because spiritual” vs rest as service readiness</w:t>
      </w:r>
    </w:p>
    <w:p>
      <w:pPr>
        <w:pStyle w:val="ListBullet"/>
      </w:pPr>
      <w:r>
        <w:t>Announce someone’s stats vs change the subject warmly</w:t>
      </w:r>
    </w:p>
    <w:p>
      <w:pPr>
        <w:pStyle w:val="Heading3"/>
      </w:pPr>
      <w:r>
        <w:t>33–37 min — Diagram task</w:t>
      </w:r>
    </w:p>
    <w:p>
      <w:r>
        <w:t>On the Care–Self sheet, students fill:</w:t>
      </w:r>
    </w:p>
    <w:p>
      <w:r>
        <w:rPr>
          <w:rFonts w:ascii="Consolas" w:hAnsi="Consolas"/>
          <w:color w:val="7A263A"/>
          <w:sz w:val="18"/>
        </w:rPr>
        <w:t>Body stages (child→youth→elder) → Conscious self continues → Kind speech + responsible care</w:t>
      </w:r>
    </w:p>
    <w:p>
      <w:r>
        <w:t xml:space="preserve">Circle the </w:t>
      </w:r>
      <w:r>
        <w:rPr>
          <w:b/>
        </w:rPr>
        <w:t>Kind speech</w:t>
      </w:r>
      <w:r>
        <w:t xml:space="preserve"> box and write the short echo inside it. Use a low-risk example (shoes too small, lost pencil joke) — not forced trauma disclosure.</w:t>
      </w:r>
    </w:p>
    <w:p>
      <w:pPr>
        <w:pStyle w:val="Heading3"/>
      </w:pPr>
      <w:r>
        <w:t>37–40 min — Project contribution + reflection + handoff</w:t>
      </w:r>
    </w:p>
    <w:p>
      <w:pPr>
        <w:pStyle w:val="ListNumber"/>
      </w:pPr>
      <w:r>
        <w:t>Complete project half-sheet: “This week our family will speak about bodies by _______________.”</w:t>
      </w:r>
    </w:p>
    <w:p>
      <w:pPr>
        <w:pStyle w:val="ListNumber"/>
      </w:pPr>
      <w:r>
        <w:t>Reflection (one sentence): How does BG 2.13 challenge both body-as-self and body-contempt?</w:t>
      </w:r>
    </w:p>
    <w:p>
      <w:pPr>
        <w:pStyle w:val="ListNumber"/>
      </w:pPr>
      <w:r>
        <w:t>Cleanup; bring sheets to reunification.</w:t>
      </w:r>
    </w:p>
    <w:p>
      <w:pPr>
        <w:pStyle w:val="ListNumber"/>
      </w:pPr>
      <w:r>
        <w:t>Parent handoff line: Home practice is once daily — notice one body change or repair one speech habit; say the memory phrase.</w:t>
      </w:r>
    </w:p>
    <w:p>
      <w:pPr>
        <w:pStyle w:val="Heading2"/>
      </w:pPr>
      <w:r>
        <w:t>Extension (if group finishes early)</w:t>
      </w:r>
    </w:p>
    <w:p>
      <w:r>
        <w:t>Compare garment analogy limits with driver–vehicle: maintain the vehicle for service; refuse harsh dualism. Still no W3 “I am God” deep dive beyond a one-line preview if asked.</w:t>
      </w:r>
    </w:p>
    <w:p>
      <w:pPr>
        <w:pStyle w:val="Heading2"/>
      </w:pPr>
      <w:r>
        <w:t>Answer key pointer</w:t>
      </w:r>
    </w:p>
    <w:p>
      <w:r>
        <w:t xml:space="preserve">Teacher-facing expected answers: </w:t>
      </w:r>
      <w:r>
        <w:rPr>
          <w:rFonts w:ascii="Consolas" w:hAnsi="Consolas"/>
          <w:color w:val="7A263A"/>
          <w:sz w:val="18"/>
        </w:rPr>
        <w:t>activities/OLDER-ANSWER-KEY.md</w:t>
      </w:r>
      <w:r>
        <w:t>. Do not distribute the key to students during the first attempt.</w:t>
      </w:r>
    </w:p>
    <w:p>
      <w:pPr>
        <w:pStyle w:val="Heading2"/>
      </w:pPr>
      <w:r>
        <w:t>Behavior and privacy</w:t>
      </w:r>
    </w:p>
    <w:p>
      <w:pPr>
        <w:pStyle w:val="ListBullet"/>
      </w:pPr>
      <w:r>
        <w:t>Redirect side talk: “Return to your Care–Self map — kind speech box.”</w:t>
      </w:r>
    </w:p>
    <w:p>
      <w:pPr>
        <w:pStyle w:val="ListBullet"/>
      </w:pPr>
      <w:r>
        <w:t>No forced confession of real teasing incidents.</w:t>
      </w:r>
    </w:p>
    <w:p>
      <w:pPr>
        <w:pStyle w:val="ListBullet"/>
      </w:pPr>
      <w:r>
        <w:t>No ranking scores aloud.</w:t>
      </w:r>
    </w:p>
    <w:p>
      <w:pPr>
        <w:pStyle w:val="ListBullet"/>
      </w:pPr>
      <w:r>
        <w:t>Parents onsite; snack/water belongs to main schedule, not track rewards framed as a meal.</w:t>
      </w:r>
    </w:p>
    <w:sectPr w:rsidR="00FC693F" w:rsidRPr="0006063C" w:rsidSect="00034616">
      <w:headerReference w:type="default" r:id="rId9"/>
      <w:footerReference w:type="default" r:id="rId10"/>
      <w:pgSz w:w="12240" w:h="15840"/>
      <w:pgMar w:top="1008" w:right="1152" w:bottom="1037" w:left="1152"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eastAsia="Segoe UI" w:cs="Segoe UI"/>
        <w:b/>
        <w:color w:val="5B1933"/>
        <w:sz w:val="15"/>
      </w:rPr>
      <w:t xml:space="preserve">KUTUMBA • Families Growing in Krishna Consciousness  |  </w:t>
    </w:r>
    <w:r>
      <w:rPr>
        <w:rFonts w:ascii="Segoe UI" w:hAnsi="Segoe UI" w:eastAsia="Segoe UI" w:cs="Segoe UI"/>
        <w:color w:val="2E3033"/>
        <w:sz w:val="15"/>
      </w:rPr>
      <w:t xml:space="preserve">KUTUMBA-original framing; cited third-party material retains its own rights.  |  Page </w:t>
    </w:r>
    <w:r>
      <w:rPr>
        <w:rFonts w:ascii="Segoe UI" w:hAnsi="Segoe UI" w:eastAsia="Segoe UI" w:cs="Segoe UI"/>
        <w:sz w:val="15"/>
      </w:rPr>
      <w:fldChar w:fldCharType="begin"/>
      <w:instrText xml:space="preserve">PAGE</w:instrText>
      <w:fldChar w:fldCharType="separate"/>
      <w:t>1</w:t>
      <w:fldChar w:fldCharType="end"/>
    </w:r>
    <w:r>
      <w:rPr>
        <w:rFonts w:ascii="Segoe UI" w:hAnsi="Segoe UI" w:eastAsia="Segoe UI" w:cs="Segoe UI"/>
        <w:sz w:val="15"/>
      </w:rPr>
      <w:t xml:space="preserve"> of </w:t>
    </w:r>
    <w:r>
      <w:rPr>
        <w:rFonts w:ascii="Segoe UI" w:hAnsi="Segoe UI" w:eastAsia="Segoe UI" w:cs="Segoe UI"/>
        <w:sz w:val="15"/>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8" w:space="4" w:color="E59B24"/>
      </w:pBdr>
    </w:pPr>
    <w:r>
      <w:rPr>
        <w:rFonts w:ascii="Segoe UI" w:hAnsi="Segoe UI" w:eastAsia="Segoe UI" w:cs="Segoe UI"/>
        <w:b/>
        <w:color w:val="5B1933"/>
        <w:sz w:val="17"/>
      </w:rPr>
      <w:t xml:space="preserve">KUTUMBA  •  </w:t>
    </w:r>
    <w:r>
      <w:rPr>
        <w:rFonts w:ascii="Segoe UI" w:hAnsi="Segoe UI" w:eastAsia="Segoe UI" w:cs="Segoe UI"/>
        <w:color w:val="4F7C78"/>
        <w:sz w:val="17"/>
      </w:rPr>
      <w:t>C1-W2  |  weekly-print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Calibri" w:hAnsi="Calibri" w:eastAsia="Calibri"/>
      <w:b w:val="0"/>
      <w:color w:val="2E3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Cambria" w:hAnsi="Cambria" w:eastAsia="Cambria"/>
      <w:b/>
      <w:bCs/>
      <w:color w:val="5B1933"/>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mbria" w:hAnsi="Cambria" w:eastAsia="Cambria"/>
      <w:b/>
      <w:bCs/>
      <w:color w:val="7A263A"/>
      <w:sz w:val="30"/>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mbria" w:hAnsi="Cambria" w:eastAsia="Cambria"/>
      <w:b/>
      <w:bCs/>
      <w:color w:val="4F7C78"/>
      <w:sz w:val="24"/>
    </w:rPr>
  </w:style>
  <w:style w:type="paragraph" w:styleId="Heading4">
    <w:name w:val="heading 4"/>
    <w:basedOn w:val="Normal"/>
    <w:next w:val="Normal"/>
    <w:link w:val="Heading4Char"/>
    <w:uiPriority w:val="9"/>
    <w:semiHidden/>
    <w:unhideWhenUsed/>
    <w:qFormat/>
    <w:rsid w:val="00FC693F"/>
    <w:pPr>
      <w:keepNext/>
      <w:keepLines/>
      <w:spacing w:before="140" w:after="60"/>
      <w:outlineLvl w:val="3"/>
    </w:pPr>
    <w:rPr>
      <w:rFonts w:asciiTheme="majorHAnsi" w:eastAsiaTheme="majorEastAsia" w:hAnsiTheme="majorHAnsi" w:cstheme="majorBidi" w:ascii="Cambria" w:hAnsi="Cambria" w:eastAsia="Cambria"/>
      <w:b/>
      <w:bCs/>
      <w:i/>
      <w:iCs/>
      <w:color w:val="5B1933"/>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Cambria" w:hAnsi="Cambria" w:eastAsia="Cambria"/>
      <w:b/>
      <w:color w:val="5B1933"/>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Segoe UI" w:hAnsi="Segoe UI" w:eastAsia="Segoe UI"/>
      <w:b w:val="0"/>
      <w:i/>
      <w:iCs/>
      <w:color w:val="4F7C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eastAsia="Calibri"/>
      <w:b w:val="0"/>
      <w:color w:val="2E3033"/>
      <w:sz w:val="21"/>
    </w:rPr>
  </w:style>
  <w:style w:type="paragraph" w:styleId="ListBullet2">
    <w:name w:val="List Bullet 2"/>
    <w:basedOn w:val="Normal"/>
    <w:uiPriority w:val="99"/>
    <w:unhideWhenUsed/>
    <w:rsid w:val="00326F90"/>
    <w:pPr>
      <w:numPr>
        <w:numId w:val="2"/>
      </w:numPr>
      <w:spacing w:after="60"/>
      <w:contextualSpacing/>
    </w:pPr>
    <w:rPr>
      <w:rFonts w:ascii="Calibri" w:hAnsi="Calibri" w:eastAsia="Calibri"/>
      <w:b w:val="0"/>
      <w:color w:val="2E3033"/>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eastAsia="Calibri"/>
      <w:b w:val="0"/>
      <w:color w:val="2E3033"/>
      <w:sz w:val="21"/>
    </w:rPr>
  </w:style>
  <w:style w:type="paragraph" w:styleId="ListNumber2">
    <w:name w:val="List Number 2"/>
    <w:basedOn w:val="Normal"/>
    <w:uiPriority w:val="99"/>
    <w:unhideWhenUsed/>
    <w:rsid w:val="0029639D"/>
    <w:pPr>
      <w:numPr>
        <w:numId w:val="6"/>
      </w:numPr>
      <w:spacing w:after="60"/>
      <w:contextualSpacing/>
    </w:pPr>
    <w:rPr>
      <w:rFonts w:ascii="Calibri" w:hAnsi="Calibri" w:eastAsia="Calibri"/>
      <w:b w:val="0"/>
      <w:color w:val="2E3033"/>
      <w:sz w:val="21"/>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00" w:after="140"/>
      <w:ind w:left="360" w:right="216"/>
    </w:pPr>
    <w:rPr>
      <w:rFonts w:ascii="Cambria" w:hAnsi="Cambria" w:eastAsia="Cambria"/>
      <w:b w:val="0"/>
      <w:i/>
      <w:iCs/>
      <w:color w:val="5B1933"/>
      <w:sz w:val="2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egoe UI" w:hAnsi="Segoe UI" w:eastAsia="Segoe UI"/>
      <w:b/>
      <w:bCs/>
      <w:color w:val="4F7C78"/>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UTUMBAEyebrow">
    <w:name w:val="KUTUMBA Eyebrow"/>
    <w:pPr>
      <w:spacing w:after="80"/>
    </w:pPr>
    <w:rPr>
      <w:rFonts w:ascii="Segoe UI" w:hAnsi="Segoe UI" w:eastAsia="Segoe UI"/>
      <w:b/>
      <w:color w:val="E59B24"/>
      <w:sz w:val="18"/>
    </w:rPr>
  </w:style>
  <w:style w:type="paragraph" w:customStyle="1" w:styleId="KUTUMBAMeta">
    <w:name w:val="KUTUMBA Meta"/>
    <w:pPr>
      <w:spacing w:after="80"/>
    </w:pPr>
    <w:rPr>
      <w:rFonts w:ascii="Segoe UI" w:hAnsi="Segoe UI" w:eastAsia="Segoe UI"/>
      <w:b w:val="0"/>
      <w:color w:val="4F7C78"/>
      <w:sz w:val="18"/>
    </w:rPr>
  </w:style>
  <w:style w:type="paragraph" w:customStyle="1" w:styleId="KUTUMBACalloutLabel">
    <w:name w:val="KUTUMBA Callout Label"/>
    <w:pPr>
      <w:spacing w:after="80"/>
    </w:pPr>
    <w:rPr>
      <w:rFonts w:ascii="Segoe UI" w:hAnsi="Segoe UI" w:eastAsia="Segoe UI"/>
      <w:b/>
      <w:color w:val="FFFFFF"/>
      <w:sz w:val="17"/>
    </w:rPr>
  </w:style>
  <w:style w:type="paragraph" w:customStyle="1" w:styleId="KUTUMBACalloutBody">
    <w:name w:val="KUTUMBA Callout Body"/>
    <w:pPr>
      <w:spacing w:after="80"/>
    </w:pPr>
    <w:rPr>
      <w:rFonts w:ascii="Calibri" w:hAnsi="Calibri" w:eastAsia="Calibri"/>
      <w:b w:val="0"/>
      <w:color w:val="2E3033"/>
      <w:sz w:val="20"/>
    </w:rPr>
  </w:style>
  <w:style w:type="paragraph" w:customStyle="1" w:styleId="KUTUMBAVerseDevanagari">
    <w:name w:val="KUTUMBA Verse Devanagari"/>
    <w:pPr>
      <w:keepLines/>
      <w:spacing w:after="80"/>
    </w:pPr>
    <w:rPr>
      <w:rFonts w:ascii="Nirmala UI" w:hAnsi="Nirmala UI" w:eastAsia="Nirmala UI"/>
      <w:b w:val="0"/>
      <w:color w:val="5B1933"/>
      <w:sz w:val="30"/>
    </w:rPr>
  </w:style>
  <w:style w:type="paragraph" w:customStyle="1" w:styleId="KUTUMBAVerseIAST">
    <w:name w:val="KUTUMBA Verse IAST"/>
    <w:pPr>
      <w:keepLines/>
      <w:spacing w:after="80"/>
    </w:pPr>
    <w:rPr>
      <w:rFonts w:ascii="Calibri" w:hAnsi="Calibri" w:eastAsia="Calibri"/>
      <w:b w:val="0"/>
      <w:color w:val="4F7C78"/>
      <w:sz w:val="21"/>
    </w:rPr>
  </w:style>
  <w:style w:type="paragraph" w:customStyle="1" w:styleId="KUTUMBARights">
    <w:name w:val="KUTUMBA Rights"/>
    <w:pPr>
      <w:spacing w:after="80"/>
    </w:pPr>
    <w:rPr>
      <w:rFonts w:ascii="Segoe UI" w:hAnsi="Segoe UI" w:eastAsia="Segoe UI"/>
      <w:b w:val="0"/>
      <w:color w:val="2E3033"/>
      <w:sz w:val="16"/>
    </w:rPr>
  </w:style>
  <w:style w:type="table" w:customStyle="1" w:styleId="KUTUMBATable">
    <w:name w:val="KUTUMBA Table"/>
    <w:rPr>
      <w:rFonts w:ascii="Calibri" w:hAnsi="Calibri"/>
      <w:color w:val="2E303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