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C2-W2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C2-W2 week_title: Free Will and Responsibility: The Next Choice Matters derived_from: canonical_file: 03-first-six-months/FIRST-SIX-MONTH-DETAILED-CURRICULUM.md source_id: KUT-SRC-0004 source_hash: 7123781051c732bc82baee084284d0bcac6c6b5011baf12d07216c2e503a7f58 extraction_heading: "C2-W2 — Free Will and Responsibility: The Next Choice Matters" extraction_date: 2026-06-30 component: overview ---</w:t>
      </w:r>
    </w:p>
    <w:p>
      <w:r>
        <w:rPr>
          <w:i/>
        </w:rPr>
        <w:t>Cycle 2 — Karma, Rebirth and Material Nature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C2-W2</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Scriptural story and application</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Teach that the conditioned soul does not control every circumstance but retains meaningful, minute choice and responsibility, especially in how one responds to guidance, habits and present conditions.</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18.63 — vimṛśyaitad aśeṣeṇa yathecchasi tathā kuru</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After giving knowledge, Kṛṣṇa tells Arjuna to deliberate fully and then act as he chooses.</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Pause–Remember–Choose Practice</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Use pause–remember–choose once daily on the chosen trigger.</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Theme:</w:t>
      </w:r>
      <w:r>
        <w:t xml:space="preserve"> Free Will and Responsibility: The Next Choice Matters </w:t>
      </w:r>
      <w:r>
        <w:rPr>
          <w:b/>
        </w:rPr>
        <w:t>Primary:</w:t>
      </w:r>
      <w:r>
        <w:t xml:space="preserve"> BG 18.63 — https://vedabase.io/en/library/bg/18/63/ </w:t>
      </w:r>
      <w:r>
        <w:rPr>
          <w:b/>
        </w:rPr>
        <w:t>Memory phrase:</w:t>
      </w:r>
      <w:r>
        <w:t xml:space="preserve"> The next choice matters.</w:t>
      </w:r>
    </w:p>
    <w:p>
      <w:pPr>
        <w:pStyle w:val="KUTUMBAMeta"/>
        <w:jc w:val="center"/>
      </w:pPr>
      <w:r>
        <w:t>◆  ◆  ◆</w:t>
      </w:r>
    </w:p>
    <w:p>
      <w:pPr>
        <w:pStyle w:val="Heading2"/>
      </w:pPr>
      <w:r>
        <w:t>Objective</w:t>
      </w:r>
    </w:p>
    <w:p>
      <w:r>
        <w:t>Children show red–yellow–green order, echo the memory phrase, and take home a Pause–Remember–Choose cue card.</w:t>
      </w:r>
    </w:p>
    <w:p>
      <w:pPr>
        <w:pStyle w:val="Heading2"/>
      </w:pPr>
      <w:r>
        <w:t>Core activity — Traffic-Light Choice Fork</w:t>
      </w:r>
    </w:p>
    <w:p>
      <w:r>
        <w:rPr>
          <w:b/>
        </w:rPr>
        <w:t>Time:</w:t>
      </w:r>
      <w:r>
        <w:t xml:space="preserve"> 5–8 minutes</w:t>
      </w:r>
    </w:p>
    <w:p>
      <w:pPr>
        <w:pStyle w:val="ListNumber"/>
      </w:pPr>
      <w:r>
        <w:t>Teacher holds a shared toy and two puppets. Puppet A feels grabby; Puppet B freezes.</w:t>
      </w:r>
    </w:p>
    <w:p>
      <w:pPr>
        <w:pStyle w:val="ListNumber"/>
      </w:pPr>
      <w:r>
        <w:t xml:space="preserve">Show </w:t>
      </w:r>
      <w:r>
        <w:rPr>
          <w:b/>
        </w:rPr>
        <w:t>red</w:t>
      </w:r>
      <w:r>
        <w:t xml:space="preserve"> card: “Pause — bodies freeze.” Children freeze with Puppet B.</w:t>
      </w:r>
    </w:p>
    <w:p>
      <w:pPr>
        <w:pStyle w:val="ListNumber"/>
      </w:pPr>
      <w:r>
        <w:t xml:space="preserve">Show </w:t>
      </w:r>
      <w:r>
        <w:rPr>
          <w:b/>
        </w:rPr>
        <w:t>yellow</w:t>
      </w:r>
      <w:r>
        <w:t xml:space="preserve"> card: “Remember Kṛṣṇa and kind hands.” Children whisper: </w:t>
      </w:r>
      <w:r>
        <w:rPr>
          <w:i/>
        </w:rPr>
        <w:t>The next choice matters.</w:t>
      </w:r>
    </w:p>
    <w:p>
      <w:pPr>
        <w:pStyle w:val="ListNumber"/>
      </w:pPr>
      <w:r>
        <w:t xml:space="preserve">Show </w:t>
      </w:r>
      <w:r>
        <w:rPr>
          <w:b/>
        </w:rPr>
        <w:t>green</w:t>
      </w:r>
      <w:r>
        <w:t xml:space="preserve"> card: Offer two endings on picture cards — (1) snatch and shout, (2) ask / take turns / ask adult for help.</w:t>
      </w:r>
    </w:p>
    <w:p>
      <w:pPr>
        <w:pStyle w:val="ListNumber"/>
      </w:pPr>
      <w:r>
        <w:t>Children point to the responsible green ending; practice once with the real toy in a gentle take-turns demo.</w:t>
      </w:r>
    </w:p>
    <w:p>
      <w:pPr>
        <w:pStyle w:val="ListNumber"/>
      </w:pPr>
      <w:r>
        <w:t>End with three echoes of the memory phrase.</w:t>
      </w:r>
    </w:p>
    <w:p>
      <w:pPr>
        <w:pStyle w:val="Heading2"/>
      </w:pPr>
      <w:r>
        <w:t>Story boundary</w:t>
      </w:r>
    </w:p>
    <w:p>
      <w:r>
        <w:t>Paraphrase only from the Gītā arc used in the younger teacher guide (seeking guidance → deliberate → choose; later clarity to follow instruction). No invented deity dialogue. No graphic violence.</w:t>
      </w:r>
    </w:p>
    <w:p>
      <w:pPr>
        <w:pStyle w:val="Heading2"/>
      </w:pPr>
      <w:r>
        <w:t>Movement — Freeze and Remember</w:t>
      </w:r>
    </w:p>
    <w:p>
      <w:pPr>
        <w:pStyle w:val="ListNumber"/>
      </w:pPr>
      <w:r>
        <w:t>Children walk slowly in a circle.</w:t>
      </w:r>
    </w:p>
    <w:p>
      <w:pPr>
        <w:pStyle w:val="ListNumber"/>
      </w:pPr>
      <w:r>
        <w:t>Teacher claps once = freeze (pause).</w:t>
      </w:r>
    </w:p>
    <w:p>
      <w:pPr>
        <w:pStyle w:val="ListNumber"/>
      </w:pPr>
      <w:r>
        <w:t>Teacher claps twice = hand on heart + memory phrase.</w:t>
      </w:r>
    </w:p>
    <w:p>
      <w:pPr>
        <w:pStyle w:val="ListNumber"/>
      </w:pPr>
      <w:r>
        <w:t>Two rounds, then sit.</w:t>
      </w:r>
    </w:p>
    <w:p>
      <w:pPr>
        <w:pStyle w:val="Heading2"/>
      </w:pPr>
      <w:r>
        <w:t>Craft — Pause–Remember–Choose cue card (step-by-step)</w:t>
      </w:r>
    </w:p>
    <w:p>
      <w:pPr>
        <w:pStyle w:val="ListNumber"/>
      </w:pPr>
      <w:r>
        <w:t>Fold card stock into a standing mini-folder.</w:t>
      </w:r>
    </w:p>
    <w:p>
      <w:pPr>
        <w:pStyle w:val="ListNumber"/>
      </w:pPr>
      <w:r>
        <w:t>Draw or stick three circles: red (top), yellow (middle), green (bottom).</w:t>
      </w:r>
    </w:p>
    <w:p>
      <w:pPr>
        <w:pStyle w:val="ListNumber"/>
      </w:pPr>
      <w:r>
        <w:t>Color each circle.</w:t>
      </w:r>
    </w:p>
    <w:p>
      <w:pPr>
        <w:pStyle w:val="ListNumber"/>
      </w:pPr>
      <w:r>
        <w:t xml:space="preserve">Inside, write or sticker: </w:t>
      </w:r>
      <w:r>
        <w:rPr>
          <w:b/>
        </w:rPr>
        <w:t>The next choice matters.</w:t>
      </w:r>
    </w:p>
    <w:p>
      <w:pPr>
        <w:pStyle w:val="ListNumber"/>
      </w:pPr>
      <w:r>
        <w:t>On the back, draw one green choice (share, soft voice, ask for help).</w:t>
      </w:r>
    </w:p>
    <w:p>
      <w:pPr>
        <w:pStyle w:val="ListNumber"/>
      </w:pPr>
      <w:r>
        <w:t>Practice touching red → yellow → green while saying Pause / Remember / Choose.</w:t>
      </w:r>
    </w:p>
    <w:p>
      <w:pPr>
        <w:pStyle w:val="ListNumber"/>
      </w:pPr>
      <w:r>
        <w:t>Take home; place near the family’s chosen trigger (toy shelf, homework table, door).</w:t>
      </w:r>
    </w:p>
    <w:p>
      <w:pPr>
        <w:pStyle w:val="Heading2"/>
      </w:pPr>
      <w:r>
        <w:t>Printable</w:t>
      </w:r>
    </w:p>
    <w:p>
      <w:r>
        <w:t xml:space="preserve">Color </w:t>
      </w:r>
      <w:r>
        <w:rPr>
          <w:rFonts w:ascii="Consolas" w:hAnsi="Consolas"/>
          <w:color w:val="7A263A"/>
          <w:sz w:val="18"/>
        </w:rPr>
        <w:t>../visuals/V12/line-art-younger.svg</w:t>
      </w:r>
      <w:r>
        <w:t xml:space="preserve"> on US Letter if present. If missing, children color their cue card only.</w:t>
      </w:r>
    </w:p>
    <w:p>
      <w:pPr>
        <w:pStyle w:val="Heading2"/>
      </w:pPr>
      <w:r>
        <w:t>Backup (low prep)</w:t>
      </w:r>
    </w:p>
    <w:p>
      <w:r>
        <w:t>Pass a soft object around the circle. Each child names one kind next choice (“share,” “sorry,” “ask”). Close with the memory phrase.</w:t>
      </w:r>
    </w:p>
    <w:p>
      <w:pPr>
        <w:pStyle w:val="Heading2"/>
      </w:pPr>
      <w:r>
        <w:t>Materials</w:t>
      </w:r>
    </w:p>
    <w:p>
      <w:r>
        <w:t>Printed line art (optional), crayons, card stock, red/yellow/green cards, soft toss object, two puppets or stuffed animals, shared toy/block.</w:t>
      </w:r>
    </w:p>
    <w:p>
      <w:pPr>
        <w:pStyle w:val="Heading2"/>
      </w:pPr>
      <w:r>
        <w:t>Parent note (glue inside cue card or say at handoff)</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once daily on your chosen trigger — Pause, Remember, Choose. Snack/water only at the Saturday program; no weekly meal. We do not rank children.</w:t>
            </w:r>
          </w:p>
        </w:tc>
      </w:tr>
    </w:tbl>
    <w:p>
      <w:pPr>
        <w:spacing w:after="20"/>
      </w:pPr>
    </w:p>
    <w:p>
      <w:pPr>
        <w:pStyle w:val="Heading1"/>
      </w:pPr>
      <w:r>
        <w:t>Older printable(s)</w:t>
      </w:r>
    </w:p>
    <w:p>
      <w:r>
        <w:rPr>
          <w:b/>
        </w:rPr>
        <w:t>Theme:</w:t>
      </w:r>
      <w:r>
        <w:t xml:space="preserve"> Free Will and Responsibility: The Next Choice Matters </w:t>
      </w:r>
      <w:r>
        <w:rPr>
          <w:b/>
        </w:rPr>
        <w:t>Primary:</w:t>
      </w:r>
      <w:r>
        <w:t xml:space="preserve"> BG 18.63 — https://vedabase.io/en/library/bg/18/63/ </w:t>
      </w:r>
      <w:r>
        <w:rPr>
          <w:b/>
        </w:rPr>
        <w:t>Essential question:</w:t>
      </w:r>
      <w:r>
        <w:t xml:space="preserve"> What is my next responsible choice?</w:t>
      </w:r>
    </w:p>
    <w:p>
      <w:pPr>
        <w:pStyle w:val="KUTUMBAMeta"/>
        <w:jc w:val="center"/>
      </w:pPr>
      <w:r>
        <w:t>◆  ◆  ◆</w:t>
      </w:r>
    </w:p>
    <w:p>
      <w:pPr>
        <w:pStyle w:val="Heading2"/>
      </w:pPr>
      <w:r>
        <w:t>Materials for each student</w:t>
      </w:r>
    </w:p>
    <w:p>
      <w:pPr>
        <w:pStyle w:val="ListBullet"/>
      </w:pPr>
      <w:r>
        <w:t>This worksheet (printed)</w:t>
      </w:r>
    </w:p>
    <w:p>
      <w:pPr>
        <w:pStyle w:val="ListBullet"/>
      </w:pPr>
      <w:r>
        <w:t>Pencil</w:t>
      </w:r>
    </w:p>
    <w:p>
      <w:pPr>
        <w:pStyle w:val="ListBullet"/>
      </w:pPr>
      <w:r>
        <w:t>Choice-map diagram (Section C)</w:t>
      </w:r>
    </w:p>
    <w:p>
      <w:pPr>
        <w:pStyle w:val="ListBullet"/>
      </w:pPr>
      <w:r>
        <w:t>One scenario card (assigned)</w:t>
      </w:r>
    </w:p>
    <w:p>
      <w:pPr>
        <w:pStyle w:val="ListBullet"/>
      </w:pPr>
      <w:r>
        <w:t>Project half-sheet (Section E)</w:t>
      </w:r>
    </w:p>
    <w:p>
      <w:r>
        <w:t xml:space="preserve">Teachers: expected directions are in </w:t>
      </w:r>
      <w:r>
        <w:rPr>
          <w:rFonts w:ascii="Consolas" w:hAnsi="Consolas"/>
          <w:color w:val="7A263A"/>
          <w:sz w:val="18"/>
        </w:rPr>
        <w:t>OLDER-ANSWER-KEY.md</w:t>
      </w:r>
      <w:r>
        <w:t xml:space="preserve"> (teacher only).</w:t>
      </w:r>
    </w:p>
    <w:p>
      <w:pPr>
        <w:pStyle w:val="KUTUMBAMeta"/>
        <w:jc w:val="center"/>
      </w:pPr>
      <w:r>
        <w:t>◆  ◆  ◆</w:t>
      </w:r>
    </w:p>
    <w:p>
      <w:pPr>
        <w:pStyle w:val="Heading2"/>
      </w:pPr>
      <w:r>
        <w:t>Section A — Text observation (BG 18.63)</w:t>
      </w:r>
    </w:p>
    <w:p>
      <w:r>
        <w:rPr>
          <w:b/>
        </w:rPr>
        <w:t>IAST:</w:t>
      </w:r>
      <w:r>
        <w:t xml:space="preserve"> iti te jñānam ākhyātaṁ guhyād guhyataraṁ mayā / vimṛśyaitad aśeṣeṇa yathecchasi tathā kuru</w:t>
      </w:r>
    </w:p>
    <w:p>
      <w:r>
        <w:rPr>
          <w:b/>
        </w:rPr>
        <w:t>KUTUMBA teaching meaning:</w:t>
      </w:r>
      <w:r>
        <w:t xml:space="preserve"> The Lord has explained confidential knowledge; now deliberate fully and then act as you choose — responsibility remains with the living being.</w:t>
      </w:r>
    </w:p>
    <w:p>
      <w:r>
        <w:rPr>
          <w:i/>
        </w:rPr>
        <w:t>(Labeled KUTUMBA teaching meaning — not labeled as BBT translation.)</w:t>
      </w:r>
    </w:p>
    <w:p>
      <w:r>
        <w:rPr>
          <w:b/>
        </w:rPr>
        <w:t>Source:</w:t>
      </w:r>
      <w:r>
        <w:t xml:space="preserve"> https://vedabase.io/en/library/bg/18/63/</w:t>
      </w:r>
    </w:p>
    <w:p>
      <w:pPr>
        <w:pStyle w:val="ListNumber"/>
      </w:pPr>
      <w:r>
        <w:t xml:space="preserve">In your own words, what does this verse ask a person to do </w:t>
      </w:r>
      <w:r>
        <w:rPr>
          <w:b/>
        </w:rPr>
        <w:t>before</w:t>
      </w:r>
      <w:r>
        <w:t xml:space="preserve"> acting?</w:t>
      </w:r>
    </w:p>
    <w:p>
      <w:pPr>
        <w:pStyle w:val="ListNumber"/>
      </w:pPr>
      <w:r>
        <w:t xml:space="preserve">Circle three key words in the teaching meaning: deliberate / choose / responsibility / machine / reincarnation. (Cross out the word that does </w:t>
      </w:r>
      <w:r>
        <w:rPr>
          <w:b/>
        </w:rPr>
        <w:t>not</w:t>
      </w:r>
      <w:r>
        <w:t xml:space="preserve"> belong to this week’s main point.)</w:t>
      </w:r>
    </w:p>
    <w:p>
      <w:pPr>
        <w:pStyle w:val="ListNumber"/>
      </w:pPr>
      <w:r>
        <w:t xml:space="preserve">Name two things you might </w:t>
      </w:r>
      <w:r>
        <w:rPr>
          <w:b/>
        </w:rPr>
        <w:t>not</w:t>
      </w:r>
      <w:r>
        <w:t xml:space="preserve"> fully control in a hard moment.</w:t>
      </w:r>
    </w:p>
    <w:p>
      <w:pPr>
        <w:pStyle w:val="ListNumber"/>
      </w:pPr>
      <w:r>
        <w:t xml:space="preserve">Name one thing you </w:t>
      </w:r>
      <w:r>
        <w:rPr>
          <w:b/>
        </w:rPr>
        <w:t>can</w:t>
      </w:r>
      <w:r>
        <w:t xml:space="preserve"> still choose in that same moment.</w:t>
      </w:r>
    </w:p>
    <w:p>
      <w:pPr>
        <w:pStyle w:val="ListNumber"/>
      </w:pPr>
      <w:r>
        <w:t xml:space="preserve">Why is “do whatever you feel” </w:t>
      </w:r>
      <w:r>
        <w:rPr>
          <w:b/>
        </w:rPr>
        <w:t>not</w:t>
      </w:r>
      <w:r>
        <w:t xml:space="preserve"> the meaning of BG 18.63?</w:t>
      </w:r>
    </w:p>
    <w:p>
      <w:pPr>
        <w:pStyle w:val="ListNumber"/>
      </w:pPr>
      <w:r>
        <w:t>Why is “I had no choice” an incomplete sentence after hearing this verse?</w:t>
      </w:r>
    </w:p>
    <w:p>
      <w:pPr>
        <w:pStyle w:val="Heading2"/>
      </w:pPr>
      <w:r>
        <w:t>Section B — Scenario card response</w:t>
      </w:r>
    </w:p>
    <w:p>
      <w:r>
        <w:t>Your group card: ☐ Sibling anger  ☐ Homework vs game  ☐ Repair after a snap</w:t>
      </w:r>
    </w:p>
    <w:p>
      <w:r>
        <w:t>Write:</w:t>
      </w:r>
    </w:p>
    <w:p>
      <w:pPr>
        <w:pStyle w:val="ListNumber"/>
      </w:pPr>
      <w:r>
        <w:t>Mistaken conclusion people might grab:</w:t>
      </w:r>
    </w:p>
    <w:p>
      <w:pPr>
        <w:pStyle w:val="ListNumber"/>
      </w:pPr>
      <w:r>
        <w:t>Pause step:</w:t>
      </w:r>
    </w:p>
    <w:p>
      <w:pPr>
        <w:pStyle w:val="ListNumber"/>
      </w:pPr>
      <w:r>
        <w:t>Remember step (Whom/what do you remember?):</w:t>
      </w:r>
    </w:p>
    <w:p>
      <w:pPr>
        <w:pStyle w:val="ListNumber"/>
      </w:pPr>
      <w:r>
        <w:t>Choose step (next responsible action):</w:t>
      </w:r>
    </w:p>
    <w:p>
      <w:pPr>
        <w:pStyle w:val="ListNumber"/>
      </w:pPr>
      <w:r>
        <w:t xml:space="preserve">One sentence you should </w:t>
      </w:r>
      <w:r>
        <w:rPr>
          <w:b/>
        </w:rPr>
        <w:t>not</w:t>
      </w:r>
      <w:r>
        <w:t xml:space="preserve"> say (shame, ranking, or public exposure):</w:t>
      </w:r>
    </w:p>
    <w:p>
      <w:pPr>
        <w:pStyle w:val="Heading2"/>
      </w:pPr>
      <w:r>
        <w:t>Section C — Choice-map diagram</w:t>
      </w:r>
    </w:p>
    <w:p>
      <w:r>
        <w:t xml:space="preserve">Fill one </w:t>
      </w:r>
      <w:r>
        <w:rPr>
          <w:b/>
        </w:rPr>
        <w:t>low-risk</w:t>
      </w:r>
      <w:r>
        <w:t xml:space="preserve"> example (lost pencil, long wait, noisy sibling). Do not write private family secrets.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1656"/>
        <w:gridCol w:w="1656"/>
        <w:gridCol w:w="1656"/>
        <w:gridCol w:w="1656"/>
        <w:gridCol w:w="1656"/>
        <w:gridCol w:w="1656"/>
      </w:tblGrid>
      <w:tr>
        <w:trPr>
          <w:tblHeader w:val="true"/>
        </w:trPr>
        <w:tc>
          <w:tcPr>
            <w:tcW w:type="dxa" w:w="1656"/>
            <w:shd w:fill="5B1933"/>
            <w:tcMar>
              <w:top w:w="100" w:type="dxa"/>
              <w:start w:w="120" w:type="dxa"/>
              <w:bottom w:w="100" w:type="dxa"/>
              <w:end w:w="120" w:type="dxa"/>
            </w:tcMar>
          </w:tcPr>
          <w:p>
            <w:r>
              <w:rPr>
                <w:b/>
                <w:color w:val="FFFFFF"/>
              </w:rPr>
              <w:t>Event</w:t>
            </w:r>
          </w:p>
        </w:tc>
        <w:tc>
          <w:tcPr>
            <w:tcW w:type="dxa" w:w="1656"/>
            <w:shd w:fill="5B1933"/>
            <w:tcMar>
              <w:top w:w="100" w:type="dxa"/>
              <w:start w:w="120" w:type="dxa"/>
              <w:bottom w:w="100" w:type="dxa"/>
              <w:end w:w="120" w:type="dxa"/>
            </w:tcMar>
          </w:tcPr>
          <w:p>
            <w:r>
              <w:rPr>
                <w:b/>
                <w:color w:val="FFFFFF"/>
              </w:rPr>
              <w:t>Body sensation</w:t>
            </w:r>
          </w:p>
        </w:tc>
        <w:tc>
          <w:tcPr>
            <w:tcW w:type="dxa" w:w="1656"/>
            <w:shd w:fill="5B1933"/>
            <w:tcMar>
              <w:top w:w="100" w:type="dxa"/>
              <w:start w:w="120" w:type="dxa"/>
              <w:bottom w:w="100" w:type="dxa"/>
              <w:end w:w="120" w:type="dxa"/>
            </w:tcMar>
          </w:tcPr>
          <w:p>
            <w:r>
              <w:rPr>
                <w:b/>
                <w:color w:val="FFFFFF"/>
              </w:rPr>
              <w:t>Thought</w:t>
            </w:r>
          </w:p>
        </w:tc>
        <w:tc>
          <w:tcPr>
            <w:tcW w:type="dxa" w:w="1656"/>
            <w:shd w:fill="5B1933"/>
            <w:tcMar>
              <w:top w:w="100" w:type="dxa"/>
              <w:start w:w="120" w:type="dxa"/>
              <w:bottom w:w="100" w:type="dxa"/>
              <w:end w:w="120" w:type="dxa"/>
            </w:tcMar>
          </w:tcPr>
          <w:p>
            <w:r>
              <w:rPr>
                <w:b/>
                <w:color w:val="FFFFFF"/>
              </w:rPr>
              <w:t>Urge</w:t>
            </w:r>
          </w:p>
        </w:tc>
        <w:tc>
          <w:tcPr>
            <w:tcW w:type="dxa" w:w="1656"/>
            <w:shd w:fill="5B1933"/>
            <w:tcMar>
              <w:top w:w="100" w:type="dxa"/>
              <w:start w:w="120" w:type="dxa"/>
              <w:bottom w:w="100" w:type="dxa"/>
              <w:end w:w="120" w:type="dxa"/>
            </w:tcMar>
          </w:tcPr>
          <w:p>
            <w:r>
              <w:rPr>
                <w:b/>
                <w:color w:val="FFFFFF"/>
              </w:rPr>
              <w:t>Choice</w:t>
            </w:r>
          </w:p>
        </w:tc>
        <w:tc>
          <w:tcPr>
            <w:tcW w:type="dxa" w:w="1656"/>
            <w:shd w:fill="5B1933"/>
            <w:tcMar>
              <w:top w:w="100" w:type="dxa"/>
              <w:start w:w="120" w:type="dxa"/>
              <w:bottom w:w="100" w:type="dxa"/>
              <w:end w:w="120" w:type="dxa"/>
            </w:tcMar>
          </w:tcPr>
          <w:p>
            <w:r>
              <w:rPr>
                <w:b/>
                <w:color w:val="FFFFFF"/>
              </w:rPr>
              <w:t>Consequence</w:t>
            </w:r>
          </w:p>
        </w:tc>
      </w:tr>
      <w:tr>
        <w:tc>
          <w:tcPr>
            <w:tcW w:type="dxa" w:w="1656"/>
            <w:tcMar>
              <w:top w:w="100" w:type="dxa"/>
              <w:start w:w="120" w:type="dxa"/>
              <w:bottom w:w="100" w:type="dxa"/>
              <w:end w:w="120" w:type="dxa"/>
            </w:tcMar>
            <w:vAlign w:val="top"/>
          </w:tcPr>
          <w:p>
            <w:r/>
          </w:p>
        </w:tc>
        <w:tc>
          <w:tcPr>
            <w:tcW w:type="dxa" w:w="1656"/>
            <w:tcMar>
              <w:top w:w="100" w:type="dxa"/>
              <w:start w:w="120" w:type="dxa"/>
              <w:bottom w:w="100" w:type="dxa"/>
              <w:end w:w="120" w:type="dxa"/>
            </w:tcMar>
            <w:vAlign w:val="top"/>
          </w:tcPr>
          <w:p>
            <w:r/>
          </w:p>
        </w:tc>
        <w:tc>
          <w:tcPr>
            <w:tcW w:type="dxa" w:w="1656"/>
            <w:tcMar>
              <w:top w:w="100" w:type="dxa"/>
              <w:start w:w="120" w:type="dxa"/>
              <w:bottom w:w="100" w:type="dxa"/>
              <w:end w:w="120" w:type="dxa"/>
            </w:tcMar>
            <w:vAlign w:val="top"/>
          </w:tcPr>
          <w:p>
            <w:r/>
          </w:p>
        </w:tc>
        <w:tc>
          <w:tcPr>
            <w:tcW w:type="dxa" w:w="1656"/>
            <w:tcMar>
              <w:top w:w="100" w:type="dxa"/>
              <w:start w:w="120" w:type="dxa"/>
              <w:bottom w:w="100" w:type="dxa"/>
              <w:end w:w="120" w:type="dxa"/>
            </w:tcMar>
            <w:vAlign w:val="top"/>
          </w:tcPr>
          <w:p>
            <w:r/>
          </w:p>
        </w:tc>
        <w:tc>
          <w:tcPr>
            <w:tcW w:type="dxa" w:w="1656"/>
            <w:tcMar>
              <w:top w:w="100" w:type="dxa"/>
              <w:start w:w="120" w:type="dxa"/>
              <w:bottom w:w="100" w:type="dxa"/>
              <w:end w:w="120" w:type="dxa"/>
            </w:tcMar>
            <w:vAlign w:val="top"/>
          </w:tcPr>
          <w:p>
            <w:r/>
          </w:p>
        </w:tc>
        <w:tc>
          <w:tcPr>
            <w:tcW w:type="dxa" w:w="1656"/>
            <w:tcMar>
              <w:top w:w="100" w:type="dxa"/>
              <w:start w:w="120" w:type="dxa"/>
              <w:bottom w:w="100" w:type="dxa"/>
              <w:end w:w="120" w:type="dxa"/>
            </w:tcMar>
            <w:vAlign w:val="top"/>
          </w:tcPr>
          <w:p>
            <w:r/>
          </w:p>
        </w:tc>
      </w:tr>
    </w:tbl>
    <w:p>
      <w:pPr>
        <w:spacing w:after="40"/>
      </w:pPr>
    </w:p>
    <w:p>
      <w:r>
        <w:t xml:space="preserve">Circle the </w:t>
      </w:r>
      <w:r>
        <w:rPr>
          <w:b/>
        </w:rPr>
        <w:t>Choice</w:t>
      </w:r>
      <w:r>
        <w:t xml:space="preserve"> cell. Inside it, write: </w:t>
      </w:r>
      <w:r>
        <w:rPr>
          <w:i/>
        </w:rPr>
        <w:t>The next choice matters.</w:t>
      </w:r>
    </w:p>
    <w:p>
      <w:pPr>
        <w:pStyle w:val="Heading2"/>
      </w:pPr>
      <w:r>
        <w:t>Section D — Responsible Fork game (class)</w:t>
      </w:r>
    </w:p>
    <w:p>
      <w:r>
        <w:t xml:space="preserve">Teacher reads forks. Hold up </w:t>
      </w:r>
      <w:r>
        <w:rPr>
          <w:b/>
        </w:rPr>
        <w:t>R</w:t>
      </w:r>
      <w:r>
        <w:t xml:space="preserve"> (responsible) or </w:t>
      </w:r>
      <w:r>
        <w:rPr>
          <w:b/>
        </w:rPr>
        <w:t>M</w:t>
      </w:r>
      <w:r>
        <w:t xml:space="preserve"> (mistaken). Then write one R choice you liked and why it matches deliberation:</w:t>
      </w:r>
    </w:p>
    <w:p>
      <w:pPr>
        <w:pStyle w:val="Heading2"/>
      </w:pPr>
      <w:r>
        <w:t>Section E — Project contribution</w:t>
      </w:r>
    </w:p>
    <w:p>
      <w:r>
        <w:t>This week, at trigger ______________________________ , my next responsible choice is ______________________________.</w:t>
      </w:r>
    </w:p>
    <w:p>
      <w:pPr>
        <w:pStyle w:val="Heading2"/>
      </w:pPr>
      <w:r>
        <w:t>Section F — Reflection</w:t>
      </w:r>
    </w:p>
    <w:p>
      <w:r>
        <w:t xml:space="preserve">How does BG 18.63 challenge </w:t>
      </w:r>
      <w:r>
        <w:rPr>
          <w:b/>
        </w:rPr>
        <w:t>both</w:t>
      </w:r>
      <w:r>
        <w:t xml:space="preserve"> “anything I feel is fine” </w:t>
      </w:r>
      <w:r>
        <w:rPr>
          <w:b/>
        </w:rPr>
        <w:t>and</w:t>
      </w:r>
      <w:r>
        <w:t xml:space="preserve"> “I am only a helpless machine”? (2–4 sentences)</w:t>
      </w:r>
    </w:p>
    <w:p>
      <w:pPr>
        <w:pStyle w:val="Heading2"/>
      </w:pPr>
      <w:r>
        <w:t>Home practice reminder</w:t>
      </w:r>
    </w:p>
    <w:p>
      <w:r>
        <w:t xml:space="preserve">Once daily on your family’s chosen trigger: </w:t>
      </w:r>
      <w:r>
        <w:rPr>
          <w:b/>
        </w:rPr>
        <w:t>Pause–Remember–Choose.</w:t>
      </w:r>
      <w:r>
        <w:t xml:space="preserve"> Parents stay part of the Saturday 2:00–4:00 rhythm; snack/water only at program (no weekly meal).</w:t>
      </w:r>
    </w:p>
    <w:p>
      <w:pPr>
        <w:pStyle w:val="Heading1"/>
      </w:pPr>
      <w:r>
        <w:t>Project contribution</w:t>
      </w:r>
    </w:p>
    <w:p>
      <w:pPr>
        <w:pStyle w:val="Heading2"/>
      </w:pPr>
      <w:r>
        <w:t>Cumulative project</w:t>
      </w:r>
    </w:p>
    <w:p>
      <w:r>
        <w:t>Cycle project for this band — week layer for C2-W2.</w:t>
      </w:r>
    </w:p>
    <w:p>
      <w:pPr>
        <w:pStyle w:val="Heading2"/>
      </w:pPr>
      <w:r>
        <w:t>Essential question</w:t>
      </w:r>
    </w:p>
    <w:p>
      <w:r>
        <w:t>What is my next responsible choice?</w:t>
      </w:r>
    </w:p>
    <w:p>
      <w:pPr>
        <w:pStyle w:val="Heading2"/>
      </w:pPr>
      <w:r>
        <w:t>Artifact</w:t>
      </w:r>
    </w:p>
    <w:p>
      <w:r>
        <w:t>One family artifact answering the question; ≤20 minutes optional burden.</w:t>
      </w:r>
    </w:p>
    <w:p>
      <w:pPr>
        <w:pStyle w:val="Heading2"/>
      </w:pPr>
      <w:r>
        <w:t>Primary</w:t>
      </w:r>
    </w:p>
    <w:p>
      <w:r>
        <w:t>BG 18.63 — https://vedabase.io/en/library/bg/18/63/</w:t>
      </w:r>
    </w:p>
    <w:p>
      <w:pPr>
        <w:pStyle w:val="Heading2"/>
      </w:pPr>
      <w:r>
        <w:t>Boundaries</w:t>
      </w:r>
    </w:p>
    <w:p>
      <w:r>
        <w:t>No ranking; no forced disclosure; distinguish paraphrase from analogy.</w:t>
      </w:r>
    </w:p>
    <w:p>
      <w:r>
        <w:br w:type="page"/>
      </w:r>
    </w:p>
    <w:p>
      <w:pPr>
        <w:pStyle w:val="Heading1"/>
      </w:pPr>
      <w:r>
        <w:t>TEACHER-ONLY: Answer key</w:t>
      </w:r>
    </w:p>
    <w:p>
      <w:r>
        <w:rPr>
          <w:b/>
        </w:rPr>
        <w:t>Week:</w:t>
      </w:r>
      <w:r>
        <w:t xml:space="preserve"> Free Will and Responsibility: The Next Choice Matters </w:t>
      </w:r>
      <w:r>
        <w:rPr>
          <w:b/>
        </w:rPr>
        <w:t>Primary:</w:t>
      </w:r>
      <w:r>
        <w:t xml:space="preserve"> BG 18.63 — https://vedabase.io/en/library/bg/18/63/ </w:t>
      </w:r>
      <w:r>
        <w:rPr>
          <w:b/>
        </w:rPr>
        <w:t>Do not distribute to students during first attempt. Not a ranking tool.</w:t>
      </w:r>
    </w:p>
    <w:p>
      <w:pPr>
        <w:pStyle w:val="KUTUMBAMeta"/>
        <w:jc w:val="center"/>
      </w:pPr>
      <w:r>
        <w:t>◆  ◆  ◆</w:t>
      </w:r>
    </w:p>
    <w:p>
      <w:pPr>
        <w:pStyle w:val="Heading2"/>
      </w:pPr>
      <w:r>
        <w:t>Section A — expected directions</w:t>
      </w:r>
    </w:p>
    <w:p>
      <w:pPr>
        <w:pStyle w:val="ListNumber"/>
      </w:pPr>
      <w:r>
        <w:rPr>
          <w:b/>
        </w:rPr>
        <w:t>Before acting:</w:t>
      </w:r>
      <w:r>
        <w:t xml:space="preserve"> Deliberate / think carefully / consider the knowledge fully (accept close paraphrases).</w:t>
      </w:r>
    </w:p>
    <w:p>
      <w:pPr>
        <w:pStyle w:val="ListNumber"/>
      </w:pPr>
      <w:r>
        <w:rPr>
          <w:b/>
        </w:rPr>
        <w:t>Circle:</w:t>
      </w:r>
      <w:r>
        <w:t xml:space="preserve"> deliberate, choose, responsibility. </w:t>
      </w:r>
      <w:r>
        <w:rPr>
          <w:b/>
        </w:rPr>
        <w:t>Cross out:</w:t>
      </w:r>
      <w:r>
        <w:t xml:space="preserve"> reincarnation (next week) and/or machine if they marked machine as a “key teaching-meaning word” — machine is a BG 18.61 image, not the three focal words of 18.63’s teaching meaning. Prefer: cross out </w:t>
      </w:r>
      <w:r>
        <w:rPr>
          <w:b/>
        </w:rPr>
        <w:t>reincarnation</w:t>
      </w:r>
      <w:r>
        <w:t xml:space="preserve"> as the clear out-of-scope distractor.</w:t>
      </w:r>
    </w:p>
    <w:p>
      <w:pPr>
        <w:pStyle w:val="ListNumber"/>
      </w:pPr>
      <w:r>
        <w:rPr>
          <w:b/>
        </w:rPr>
        <w:t>Not fully control (examples):</w:t>
      </w:r>
      <w:r>
        <w:t xml:space="preserve"> other person’s words, past events, body adrenaline, traffic, the game invitation already sent, weather, sibling’s first reaction.</w:t>
      </w:r>
    </w:p>
    <w:p>
      <w:pPr>
        <w:pStyle w:val="ListNumber"/>
      </w:pPr>
      <w:r>
        <w:rPr>
          <w:b/>
        </w:rPr>
        <w:t>Can still choose (examples):</w:t>
      </w:r>
      <w:r>
        <w:t xml:space="preserve"> pause, ask for help, kind tone, take turns, start homework for ten minutes, apologize/repair, put the remote down.</w:t>
      </w:r>
    </w:p>
    <w:p>
      <w:pPr>
        <w:pStyle w:val="ListNumber"/>
      </w:pPr>
      <w:r>
        <w:rPr>
          <w:b/>
        </w:rPr>
        <w:t>Not “do whatever you feel”:</w:t>
      </w:r>
      <w:r>
        <w:t xml:space="preserve"> The verse comes after confidential knowledge and requires full deliberation; choice is responsible, not license. BG 18.73 shows alignment with the Lord’s instruction after clarity.</w:t>
      </w:r>
    </w:p>
    <w:p>
      <w:pPr>
        <w:pStyle w:val="ListNumber"/>
      </w:pPr>
      <w:r>
        <w:rPr>
          <w:b/>
        </w:rPr>
        <w:t>“I had no choice” incomplete:</w:t>
      </w:r>
      <w:r>
        <w:t xml:space="preserve"> Limits are real, but BG 18.63 affirms deliberation and action as you choose — responsibility remains with the living being.</w:t>
      </w:r>
    </w:p>
    <w:p>
      <w:pPr>
        <w:pStyle w:val="Heading2"/>
      </w:pPr>
      <w:r>
        <w:t>Section B — scenario directions</w:t>
      </w:r>
    </w:p>
    <w:p>
      <w:pPr>
        <w:pStyle w:val="Heading3"/>
      </w:pPr>
      <w:r>
        <w:t>Sibling anger</w:t>
      </w:r>
    </w:p>
    <w:p>
      <w:pPr>
        <w:pStyle w:val="ListBullet"/>
      </w:pPr>
      <w:r>
        <w:t>Mistaken: “Anger made me do it / I had no choice.”</w:t>
      </w:r>
    </w:p>
    <w:p>
      <w:pPr>
        <w:pStyle w:val="ListBullet"/>
      </w:pPr>
      <w:r>
        <w:t>Pause: freeze hands/voice; breath.</w:t>
      </w:r>
    </w:p>
    <w:p>
      <w:pPr>
        <w:pStyle w:val="ListBullet"/>
      </w:pPr>
      <w:r>
        <w:t>Remember: Kṛṣṇa, memory phrase, family kind-hands rule.</w:t>
      </w:r>
    </w:p>
    <w:p>
      <w:pPr>
        <w:pStyle w:val="ListBullet"/>
      </w:pPr>
      <w:r>
        <w:t>Choose: ask / take turns / get adult help.</w:t>
      </w:r>
    </w:p>
    <w:p>
      <w:pPr>
        <w:pStyle w:val="ListBullet"/>
      </w:pPr>
      <w:r>
        <w:t>Do not say: “You’re evil,” public shame, spiritual threats.</w:t>
      </w:r>
    </w:p>
    <w:p>
      <w:pPr>
        <w:pStyle w:val="Heading3"/>
      </w:pPr>
      <w:r>
        <w:t>Homework vs game</w:t>
      </w:r>
    </w:p>
    <w:p>
      <w:pPr>
        <w:pStyle w:val="ListBullet"/>
      </w:pPr>
      <w:r>
        <w:t>Mistaken: “Easy feeling = right,” or “schedules own me so effort is pointless.”</w:t>
      </w:r>
    </w:p>
    <w:p>
      <w:pPr>
        <w:pStyle w:val="ListBullet"/>
      </w:pPr>
      <w:r>
        <w:t>Pause: notice urge.</w:t>
      </w:r>
    </w:p>
    <w:p>
      <w:pPr>
        <w:pStyle w:val="ListBullet"/>
      </w:pPr>
      <w:r>
        <w:t>Remember: duty + verse meaning.</w:t>
      </w:r>
    </w:p>
    <w:p>
      <w:pPr>
        <w:pStyle w:val="ListBullet"/>
      </w:pPr>
      <w:r>
        <w:t>Choose: minimum focused work block, then timed break.</w:t>
      </w:r>
    </w:p>
    <w:p>
      <w:pPr>
        <w:pStyle w:val="ListBullet"/>
      </w:pPr>
      <w:r>
        <w:t>Do not say: grade-based ranking in circle; “bad devotee.”</w:t>
      </w:r>
    </w:p>
    <w:p>
      <w:pPr>
        <w:pStyle w:val="Heading3"/>
      </w:pPr>
      <w:r>
        <w:t>Repair after a snap</w:t>
      </w:r>
    </w:p>
    <w:p>
      <w:pPr>
        <w:pStyle w:val="ListBullet"/>
      </w:pPr>
      <w:r>
        <w:t>Mistaken: “Stress erased my agency” or “one failure means quit.”</w:t>
      </w:r>
    </w:p>
    <w:p>
      <w:pPr>
        <w:pStyle w:val="ListBullet"/>
      </w:pPr>
      <w:r>
        <w:t>Pause: stop escalation.</w:t>
      </w:r>
    </w:p>
    <w:p>
      <w:pPr>
        <w:pStyle w:val="ListBullet"/>
      </w:pPr>
      <w:r>
        <w:t>Remember: next choice matters; guidance/repair is responsible (BG 2.7 pattern of seeking what is best).</w:t>
      </w:r>
    </w:p>
    <w:p>
      <w:pPr>
        <w:pStyle w:val="ListBullet"/>
      </w:pPr>
      <w:r>
        <w:t>Choose: brief apology + restored tone + clear next step (without forcing the other person to comfort you).</w:t>
      </w:r>
    </w:p>
    <w:p>
      <w:pPr>
        <w:pStyle w:val="ListBullet"/>
      </w:pPr>
      <w:r>
        <w:t>Do not say: forced public apology theater; using the child as a prop.</w:t>
      </w:r>
    </w:p>
    <w:p>
      <w:pPr>
        <w:pStyle w:val="Heading2"/>
      </w:pPr>
      <w:r>
        <w:t>Section C — diagram</w:t>
      </w:r>
    </w:p>
    <w:p>
      <w:r>
        <w:t xml:space="preserve">Accept any coherent low-risk chain. </w:t>
      </w:r>
      <w:r>
        <w:rPr>
          <w:b/>
        </w:rPr>
        <w:t>Choice</w:t>
      </w:r>
      <w:r>
        <w:t xml:space="preserve"> cell must be circled and contain the short echo. If a student writes a high-risk private disclosure, thank them privately and help reframe to a low-risk example; do not broadcast.</w:t>
      </w:r>
    </w:p>
    <w:p>
      <w:pPr>
        <w:pStyle w:val="Heading2"/>
      </w:pPr>
      <w:r>
        <w:t>Section D — forks</w:t>
      </w:r>
    </w:p>
    <w:p>
      <w:r>
        <w:t xml:space="preserve">Mark </w:t>
      </w:r>
      <w:r>
        <w:rPr>
          <w:b/>
        </w:rPr>
        <w:t>R</w:t>
      </w:r>
      <w:r>
        <w:t xml:space="preserve"> when the ending includes pause, deliberation, repair, or duty with kindness. Mark </w:t>
      </w:r>
      <w:r>
        <w:rPr>
          <w:b/>
        </w:rPr>
        <w:t>M</w:t>
      </w:r>
      <w:r>
        <w:t xml:space="preserve"> for fatalism (“no choice”) or license (“whatever I feel”).</w:t>
      </w:r>
    </w:p>
    <w:p>
      <w:pPr>
        <w:pStyle w:val="Heading2"/>
      </w:pPr>
      <w:r>
        <w:t>Section E–F</w:t>
      </w:r>
    </w:p>
    <w:p>
      <w:r>
        <w:t>Any sincere trigger + next responsible act. Reflection should mention both blocked extremes (license and no-agency).</w:t>
      </w:r>
    </w:p>
    <w:p>
      <w:pPr>
        <w:pStyle w:val="Heading2"/>
      </w:pPr>
      <w:r>
        <w:t>Scoring note</w:t>
      </w:r>
    </w:p>
    <w:p>
      <w:r>
        <w:t>Use for facilitation only. No public scores. No family ranking.</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feelings can be strong while the </w:t>
      </w:r>
      <w:r>
        <w:rPr>
          <w:b/>
        </w:rPr>
        <w:t>next choice</w:t>
      </w:r>
      <w:r>
        <w:t xml:space="preserve"> still matters. They practice a simple </w:t>
      </w:r>
      <w:r>
        <w:rPr>
          <w:b/>
        </w:rPr>
        <w:t>red–yellow–green</w:t>
      </w:r>
      <w:r>
        <w:t xml:space="preserve"> pause and take home one cue card for Pause–Remember–Choose.</w:t>
      </w:r>
    </w:p>
    <w:p>
      <w:pPr>
        <w:pStyle w:val="Heading2"/>
      </w:pPr>
      <w:r>
        <w:t>Exact memory phrase</w:t>
      </w:r>
    </w:p>
    <w:p>
      <w:pPr>
        <w:pStyle w:val="Quote"/>
      </w:pPr>
      <w:r>
        <w:t>The next choice matters.</w:t>
      </w:r>
    </w:p>
    <w:p>
      <w:pPr>
        <w:pStyle w:val="Heading2"/>
      </w:pPr>
      <w:r>
        <w:t>Teacher background (2 minutes to review)</w:t>
      </w:r>
    </w:p>
    <w:p>
      <w:pPr>
        <w:pStyle w:val="ListBullet"/>
      </w:pPr>
      <w:r>
        <w:rPr>
          <w:b/>
        </w:rPr>
        <w:t>KUTUMBA teaching meaning (adult wording):</w:t>
      </w:r>
      <w:r>
        <w:t xml:space="preserve"> The Lord has explained confidential knowledge; now deliberate fully and then act as you choose — responsibility remains with the living being.</w:t>
      </w:r>
    </w:p>
    <w:p>
      <w:pPr>
        <w:pStyle w:val="ListBullet"/>
      </w:pPr>
      <w:r>
        <w:rPr>
          <w:b/>
        </w:rPr>
        <w:t>Child-facing paraphrase:</w:t>
      </w:r>
      <w:r>
        <w:t xml:space="preserve"> Kṛṣṇa teaches Arjuna: think carefully, then choose what is right. We do not control everything, but we can choose our next kind step.</w:t>
      </w:r>
    </w:p>
    <w:p>
      <w:pPr>
        <w:pStyle w:val="ListBullet"/>
      </w:pPr>
      <w:r>
        <w:rPr>
          <w:b/>
        </w:rPr>
        <w:t>Block misconceptions (child words):</w:t>
      </w:r>
    </w:p>
    <w:p>
      <w:pPr>
        <w:pStyle w:val="ListBullet2"/>
      </w:pPr>
      <w:r>
        <w:t>“I can do whatever I feel.”</w:t>
      </w:r>
    </w:p>
    <w:p>
      <w:pPr>
        <w:pStyle w:val="ListBullet2"/>
      </w:pPr>
      <w:r>
        <w:t>“I had no choice.”</w:t>
      </w:r>
    </w:p>
    <w:p>
      <w:pPr>
        <w:pStyle w:val="ListBullet"/>
      </w:pPr>
      <w:r>
        <w:rPr>
          <w:b/>
        </w:rPr>
        <w:t>Do not:</w:t>
      </w:r>
      <w:r>
        <w:t xml:space="preserve"> invent Kṛṣṇa–Arjuna dialogue; use scary battle talk; force children to confess home fights; rank children.</w:t>
      </w:r>
    </w:p>
    <w:p>
      <w:pPr>
        <w:pStyle w:val="Heading2"/>
      </w:pPr>
      <w:r>
        <w:t>Materials</w:t>
      </w:r>
    </w:p>
    <w:p>
      <w:pPr>
        <w:pStyle w:val="ListBullet"/>
      </w:pPr>
      <w:r>
        <w:t>Red, yellow, and green cardstock circles (one set per small group)</w:t>
      </w:r>
    </w:p>
    <w:p>
      <w:pPr>
        <w:pStyle w:val="ListBullet"/>
      </w:pPr>
      <w:r>
        <w:t>Soft puppet or two stuffed animals</w:t>
      </w:r>
    </w:p>
    <w:p>
      <w:pPr>
        <w:pStyle w:val="ListBullet"/>
      </w:pPr>
      <w:r>
        <w:t>Toy or block for the “shared toy” demo</w:t>
      </w:r>
    </w:p>
    <w:p>
      <w:pPr>
        <w:pStyle w:val="ListBullet"/>
      </w:pPr>
      <w:r>
        <w:t>Card stock for take-home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Soft toss object for backup game</w:t>
      </w:r>
    </w:p>
    <w:p>
      <w:pPr>
        <w:pStyle w:val="ListBullet"/>
      </w:pPr>
      <w:r>
        <w:t>Tape or mini-stands so traffic-light cards can stand</w:t>
      </w:r>
    </w:p>
    <w:p>
      <w:pPr>
        <w:pStyle w:val="Heading2"/>
      </w:pPr>
      <w:r>
        <w:t>Room setup</w:t>
      </w:r>
    </w:p>
    <w:p>
      <w:r>
        <w:t>Circle on the floor; materials table behind you; calm corner with one chair for quiet reset. Keep aisles clear for movement game.</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 xml:space="preserve">Echo memory phrase three times, clap rhythm: </w:t>
      </w:r>
      <w:r>
        <w:rPr>
          <w:i/>
        </w:rPr>
        <w:t>The next / choice / matters.</w:t>
      </w:r>
    </w:p>
    <w:p>
      <w:pPr>
        <w:pStyle w:val="ListNumber"/>
      </w:pPr>
      <w:r>
        <w:t>Show red card: “Pause.” Yellow: “Remember Kṛṣṇa and kind rules.” Green: “Choose a good next step.”</w:t>
      </w:r>
    </w:p>
    <w:p>
      <w:pPr>
        <w:pStyle w:val="ListNumber"/>
      </w:pPr>
      <w:r>
        <w:t>Ask: “Did anyone practice a pause at home?” Accept nods; no forced stories.</w:t>
      </w:r>
    </w:p>
    <w:p>
      <w:pPr>
        <w:pStyle w:val="Heading3"/>
      </w:pPr>
      <w:r>
        <w:t>5–13 min — Story script (paraphrase only; ~8 minutes)</w:t>
      </w:r>
    </w:p>
    <w:p>
      <w:r>
        <w:rPr>
          <w:b/>
        </w:rPr>
        <w:t>Say exactly this spine (do not invent deity dialogue):</w:t>
      </w:r>
    </w:p>
    <w:p>
      <w:pPr>
        <w:pStyle w:val="Quote"/>
      </w:pPr>
      <w:r>
        <w:t>Long ago, Arjuna felt confused about what he should do. He asked Kṛṣṇa to teach him what was best. That asking was already a good choice. Kṛṣṇa taught him many important things. Then Kṛṣṇa told him to think carefully about what he heard, and then to choose how to act. Later, Arjuna’s confusion was gone, and he was ready to follow Kṛṣṇa’s instruction. We also get confused. We do not control every feeling. But after we pause and remember, we can choose the next kind step. The next choice matters.</w:t>
      </w:r>
    </w:p>
    <w:p>
      <w:r>
        <w:rPr>
          <w:b/>
        </w:rPr>
        <w:t>Story boundaries:</w:t>
      </w:r>
      <w:r>
        <w:t xml:space="preserve"> Paraphrase from BG 2.7, 18.63, and 18.73 themes only. No invented quotes. No gore. No blaming a child as “the bad Arjuna.”</w:t>
      </w:r>
    </w:p>
    <w:p>
      <w:pPr>
        <w:pStyle w:val="Heading3"/>
      </w:pPr>
      <w:r>
        <w:t>13–16 min — Three wonder questions</w:t>
      </w:r>
    </w:p>
    <w:p>
      <w:pPr>
        <w:pStyle w:val="ListNumber"/>
      </w:pPr>
      <w:r>
        <w:t xml:space="preserve">When you feel mad or grabby, what is the </w:t>
      </w:r>
      <w:r>
        <w:rPr>
          <w:b/>
        </w:rPr>
        <w:t>red</w:t>
      </w:r>
      <w:r>
        <w:t xml:space="preserve"> step?</w:t>
      </w:r>
    </w:p>
    <w:p>
      <w:pPr>
        <w:pStyle w:val="ListNumber"/>
      </w:pPr>
      <w:r>
        <w:t xml:space="preserve">Whom can we remember on the </w:t>
      </w:r>
      <w:r>
        <w:rPr>
          <w:b/>
        </w:rPr>
        <w:t>yellow</w:t>
      </w:r>
      <w:r>
        <w:t xml:space="preserve"> step? (Kṛṣṇa; also family kind rules)</w:t>
      </w:r>
    </w:p>
    <w:p>
      <w:pPr>
        <w:pStyle w:val="ListNumber"/>
      </w:pPr>
      <w:r>
        <w:t xml:space="preserve">What is one </w:t>
      </w:r>
      <w:r>
        <w:rPr>
          <w:b/>
        </w:rPr>
        <w:t>green</w:t>
      </w:r>
      <w:r>
        <w:t xml:space="preserve"> choice with a brother, sister, or friend?</w:t>
      </w:r>
    </w:p>
    <w:p>
      <w:r>
        <w:t>Accept one- or two-word answers. Affirm effort.</w:t>
      </w:r>
    </w:p>
    <w:p>
      <w:pPr>
        <w:pStyle w:val="Heading3"/>
      </w:pPr>
      <w:r>
        <w:t>16–24 min — Movement game: Traffic-Light Choice (steps)</w:t>
      </w:r>
    </w:p>
    <w:p>
      <w:pPr>
        <w:pStyle w:val="ListNumber"/>
      </w:pPr>
      <w:r>
        <w:t>Spread children in a safe open space.</w:t>
      </w:r>
    </w:p>
    <w:p>
      <w:pPr>
        <w:pStyle w:val="ListNumber"/>
      </w:pPr>
      <w:r>
        <w:t xml:space="preserve">Teacher calls </w:t>
      </w:r>
      <w:r>
        <w:rPr>
          <w:b/>
        </w:rPr>
        <w:t>Red</w:t>
      </w:r>
      <w:r>
        <w:t xml:space="preserve"> — everyone freezes (pause).</w:t>
      </w:r>
    </w:p>
    <w:p>
      <w:pPr>
        <w:pStyle w:val="ListNumber"/>
      </w:pPr>
      <w:r>
        <w:t xml:space="preserve">Teacher calls </w:t>
      </w:r>
      <w:r>
        <w:rPr>
          <w:b/>
        </w:rPr>
        <w:t>Yellow</w:t>
      </w:r>
      <w:r>
        <w:t xml:space="preserve"> — everyone places hand on heart and whispers memory phrase.</w:t>
      </w:r>
    </w:p>
    <w:p>
      <w:pPr>
        <w:pStyle w:val="ListNumber"/>
      </w:pPr>
      <w:r>
        <w:t xml:space="preserve">Teacher calls </w:t>
      </w:r>
      <w:r>
        <w:rPr>
          <w:b/>
        </w:rPr>
        <w:t>Green</w:t>
      </w:r>
      <w:r>
        <w:t xml:space="preserve"> — everyone takes three gentle steps toward the kindness mat / circle center and sits.</w:t>
      </w:r>
    </w:p>
    <w:p>
      <w:pPr>
        <w:pStyle w:val="ListNumber"/>
      </w:pPr>
      <w:r>
        <w:t>Play three rounds. On round three, add a choice: show two picture cards (kind share vs harsh snatch). On green, children point to the kind card.</w:t>
      </w:r>
    </w:p>
    <w:p>
      <w:pPr>
        <w:pStyle w:val="ListNumber"/>
      </w:pPr>
      <w:r>
        <w:t>End seated; echo memory phrase once.</w:t>
      </w:r>
    </w:p>
    <w:p>
      <w:pPr>
        <w:pStyle w:val="Heading3"/>
      </w:pPr>
      <w:r>
        <w:t>24–32 min — Craft: Pause–Remember–Choose cue card (steps)</w:t>
      </w:r>
    </w:p>
    <w:p>
      <w:pPr>
        <w:pStyle w:val="ListNumber"/>
      </w:pPr>
      <w:r>
        <w:t>Give each child a folded card stock “traffic light.”</w:t>
      </w:r>
    </w:p>
    <w:p>
      <w:pPr>
        <w:pStyle w:val="ListNumber"/>
      </w:pPr>
      <w:r>
        <w:t>Color top circle red, middle yellow, bottom green (model once).</w:t>
      </w:r>
    </w:p>
    <w:p>
      <w:pPr>
        <w:pStyle w:val="ListNumber"/>
      </w:pPr>
      <w:r>
        <w:t xml:space="preserve">Inside the card, teacher or helper writes: </w:t>
      </w:r>
      <w:r>
        <w:rPr>
          <w:b/>
        </w:rPr>
        <w:t>The next choice matters.</w:t>
      </w:r>
    </w:p>
    <w:p>
      <w:pPr>
        <w:pStyle w:val="ListNumber"/>
      </w:pPr>
      <w:r>
        <w:t>On the back, child draws one green choice (share, soft voice, ask for help).</w:t>
      </w:r>
    </w:p>
    <w:p>
      <w:pPr>
        <w:pStyle w:val="ListNumber"/>
      </w:pPr>
      <w:r>
        <w:t>Practice once: hold card, touch red → yellow → green while saying Pause / Remember / Choose.</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short on time, skip coloring and keep the cue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“Try your green voice.”</w:t>
      </w:r>
    </w:p>
    <w:p>
      <w:pPr>
        <w:pStyle w:val="ListBullet"/>
      </w:pPr>
      <w:r>
        <w:rPr>
          <w:b/>
        </w:rPr>
        <w:t>Toy rests</w:t>
      </w:r>
      <w:r>
        <w:t xml:space="preserve"> — “Toy takes a nap on the shelf.”</w:t>
      </w:r>
    </w:p>
    <w:p>
      <w:pPr>
        <w:pStyle w:val="ListBullet"/>
      </w:pPr>
      <w:r>
        <w:rPr>
          <w:b/>
        </w:rPr>
        <w:t>Quiet reset</w:t>
      </w:r>
      <w:r>
        <w:t xml:space="preserve"> — one minute in calm corner with red card; rejoin on yellow whisper.</w:t>
      </w:r>
    </w:p>
    <w:p>
      <w:pPr>
        <w:pStyle w:val="Heading3"/>
      </w:pPr>
      <w:r>
        <w:t>38–40 min — Cleanup and parent handoff</w:t>
      </w:r>
    </w:p>
    <w:p>
      <w:pPr>
        <w:pStyle w:val="ListNumber"/>
      </w:pPr>
      <w:r>
        <w:t>Crayons in bin; cards stacked; soft toys away.</w:t>
      </w:r>
    </w:p>
    <w:p>
      <w:pPr>
        <w:pStyle w:val="ListNumber"/>
      </w:pPr>
      <w:r>
        <w:t>Each child holds cue card.</w:t>
      </w:r>
    </w:p>
    <w:p>
      <w:pPr>
        <w:pStyle w:val="ListNumber"/>
      </w:pPr>
      <w:r>
        <w:t>At reunification, tell parent in one sentence:</w:t>
      </w:r>
    </w:p>
    <w:p>
      <w:pPr>
        <w:pStyle w:val="Quote"/>
      </w:pPr>
      <w:r>
        <w:t>Memory phrase: “The next choice matters.” Home cue: once daily on your family trigger — Pause, Remember, Choose.</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“Red light bodies.”</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“Yellow — remember 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“Green voice, please.”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pStyle w:val="ListNumber"/>
      </w:pPr>
      <w:r>
        <w:t>Sit in a circle with soft toss object.</w:t>
      </w:r>
    </w:p>
    <w:p>
      <w:pPr>
        <w:pStyle w:val="ListNumber"/>
      </w:pPr>
      <w:r>
        <w:t>Child catches, says one kind next choice (“share,” “sorry,” “ask”), tosses to next.</w:t>
      </w:r>
    </w:p>
    <w:p>
      <w:pPr>
        <w:pStyle w:val="ListNumber"/>
      </w:pPr>
      <w:r>
        <w:t>End with three echoes of the memory phrase.</w:t>
      </w:r>
    </w:p>
    <w:p>
      <w:pPr>
        <w:pStyle w:val="ListNumber"/>
      </w:pPr>
      <w:r>
        <w:t>Optional: freeze-and-remember — freeze on clap, say phrase on second clap.</w:t>
      </w:r>
    </w:p>
    <w:p>
      <w:pPr>
        <w:pStyle w:val="Heading2"/>
      </w:pPr>
      <w:r>
        <w:t>What success looks like</w:t>
      </w:r>
    </w:p>
    <w:p>
      <w:pPr>
        <w:pStyle w:val="ListBullet"/>
      </w:pPr>
      <w:r>
        <w:t>Child can show red / yellow / green in order.</w:t>
      </w:r>
    </w:p>
    <w:p>
      <w:pPr>
        <w:pStyle w:val="ListBullet"/>
      </w:pPr>
      <w:r>
        <w:t xml:space="preserve">Child can echo: </w:t>
      </w:r>
      <w:r>
        <w:rPr>
          <w:b/>
        </w:rPr>
        <w:t>The next choice matters.</w:t>
      </w:r>
    </w:p>
    <w:p>
      <w:pPr>
        <w:pStyle w:val="ListBullet"/>
      </w:pPr>
      <w:r>
        <w:t>Child can name one green action.</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sibling fights.</w:t>
      </w:r>
    </w:p>
    <w:p>
      <w:pPr>
        <w:pStyle w:val="Heading1"/>
      </w:pPr>
      <w:r>
        <w:t>TEACHER-ONLY: Older run sheet</w:t>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BG 18.63, explain that deliberation and choice go together with responsibility, map a trigger chain, and contribute one project sentence answering: </w:t>
      </w:r>
      <w:r>
        <w:rPr>
          <w:b/>
        </w:rPr>
        <w:t>What is my next responsible choice?</w:t>
      </w:r>
    </w:p>
    <w:p>
      <w:pPr>
        <w:pStyle w:val="Heading2"/>
      </w:pPr>
      <w:r>
        <w:t>Exact memory phrase</w:t>
      </w:r>
    </w:p>
    <w:p>
      <w:pPr>
        <w:pStyle w:val="Quote"/>
      </w:pPr>
      <w:r>
        <w:t>After giving knowledge, Kṛṣṇa tells Arjuna to deliberate fully and then act as he chooses.</w:t>
      </w:r>
    </w:p>
    <w:p>
      <w:r>
        <w:rPr>
          <w:b/>
        </w:rPr>
        <w:t>Short echo:</w:t>
      </w:r>
      <w:r>
        <w:t xml:space="preserve"> The next choice matters.</w:t>
      </w:r>
    </w:p>
    <w:p>
      <w:pPr>
        <w:pStyle w:val="Heading2"/>
      </w:pPr>
      <w:r>
        <w:t>Teacher background</w:t>
      </w:r>
    </w:p>
    <w:p>
      <w:pPr>
        <w:pStyle w:val="ListBullet"/>
      </w:pPr>
      <w:r>
        <w:rPr>
          <w:b/>
        </w:rPr>
        <w:t>KUTUMBA teaching meaning:</w:t>
      </w:r>
      <w:r>
        <w:t xml:space="preserve"> The Lord has explained confidential knowledge; now deliberate fully and then act as you choose — responsibility remains with the living being. (Label as KUTUMBA teaching meaning — not as BBT translation.)</w:t>
      </w:r>
    </w:p>
    <w:p>
      <w:pPr>
        <w:pStyle w:val="ListBullet"/>
      </w:pPr>
      <w:r>
        <w:rPr>
          <w:b/>
        </w:rPr>
        <w:t>Supporting frames (one sentence each):</w:t>
      </w:r>
      <w:r>
        <w:t xml:space="preserve"> BG 18.61 machine-of-nature limits; BG 3.34 sense attachment/aversion; BG 2.7 seeking guidance; BG 18.73 willing alignment after clarity.</w:t>
      </w:r>
    </w:p>
    <w:p>
      <w:pPr>
        <w:pStyle w:val="ListBullet"/>
      </w:pPr>
      <w:r>
        <w:rPr>
          <w:b/>
        </w:rPr>
        <w:t>Block:</w:t>
      </w:r>
      <w:r>
        <w:t xml:space="preserve"> “Choice = do whatever I feel” and “I have no agency.”</w:t>
      </w:r>
    </w:p>
    <w:p>
      <w:pPr>
        <w:pStyle w:val="ListBullet"/>
      </w:pPr>
      <w:r>
        <w:rPr>
          <w:b/>
        </w:rPr>
        <w:t>Scope:</w:t>
      </w:r>
      <w:r>
        <w:t xml:space="preserve"> Do not teach reincarnation ontology (C2-W3) tonight.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(sibling anger; homework vs game; parent snap/repair — fictional)</w:t>
      </w:r>
    </w:p>
    <w:p>
      <w:pPr>
        <w:pStyle w:val="ListBullet"/>
      </w:pPr>
      <w:r>
        <w:t>Choice-map diagram sheet (event → sensation → thought → urge → choice → consequence)</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sentence is more true — ‘I had no choice’ or ‘I can do whatever I feel’?” Let two volunteers answer; hold both as incomplete.</w:t>
      </w:r>
    </w:p>
    <w:p>
      <w:pPr>
        <w:pStyle w:val="ListNumber"/>
      </w:pPr>
      <w:r>
        <w:t>State essential question: What is my next responsible choice?</w:t>
      </w:r>
    </w:p>
    <w:p>
      <w:pPr>
        <w:pStyle w:val="Heading3"/>
      </w:pPr>
      <w:r>
        <w:t>5–14 min — Primary text observation (BG 18.63)</w:t>
      </w:r>
    </w:p>
    <w:p>
      <w:pPr>
        <w:pStyle w:val="ListNumber"/>
      </w:pPr>
      <w:r>
        <w:t>Display verse; read IAST aloud together once; teacher reads Devanāgarī slowly or plays authorized audio if available.</w:t>
      </w:r>
    </w:p>
    <w:p>
      <w:pPr>
        <w:pStyle w:val="ListNumber"/>
      </w:pPr>
      <w:r>
        <w:t xml:space="preserve">Students underline three idea-words in the teaching meaning: </w:t>
      </w:r>
      <w:r>
        <w:rPr>
          <w:b/>
        </w:rPr>
        <w:t>deliberate</w:t>
      </w:r>
      <w:r>
        <w:t xml:space="preserve">, </w:t>
      </w:r>
      <w:r>
        <w:rPr>
          <w:b/>
        </w:rPr>
        <w:t>choose</w:t>
      </w:r>
      <w:r>
        <w:t xml:space="preserve">, </w:t>
      </w:r>
      <w:r>
        <w:rPr>
          <w:b/>
        </w:rPr>
        <w:t>responsibility</w:t>
      </w:r>
      <w:r>
        <w:t>.</w:t>
      </w:r>
    </w:p>
    <w:p>
      <w:pPr>
        <w:pStyle w:val="ListNumber"/>
      </w:pPr>
      <w:r>
        <w:t>Observation prompts (write short answers):</w:t>
      </w:r>
    </w:p>
    <w:p>
      <w:pPr>
        <w:pStyle w:val="ListBullet2"/>
      </w:pPr>
      <w:r>
        <w:t>What has already been given? (knowledge explained)</w:t>
      </w:r>
    </w:p>
    <w:p>
      <w:pPr>
        <w:pStyle w:val="ListBullet2"/>
      </w:pPr>
      <w:r>
        <w:t>What must Arjuna do before acting? (deliberate fully)</w:t>
      </w:r>
    </w:p>
    <w:p>
      <w:pPr>
        <w:pStyle w:val="ListBullet2"/>
      </w:pPr>
      <w:r>
        <w:t>Who remains responsible for action? (the living being / Arjuna as representative learner)</w:t>
      </w:r>
    </w:p>
    <w:p>
      <w:pPr>
        <w:pStyle w:val="ListNumber"/>
      </w:pPr>
      <w:r>
        <w:t>Add one-sentence bridges:</w:t>
      </w:r>
    </w:p>
    <w:p>
      <w:pPr>
        <w:pStyle w:val="ListBullet2"/>
      </w:pPr>
      <w:r>
        <w:t>BG 2.7 — seeking guidance is a responsible move when confused.</w:t>
      </w:r>
    </w:p>
    <w:p>
      <w:pPr>
        <w:pStyle w:val="ListBullet2"/>
      </w:pPr>
      <w:r>
        <w:t>BG 18.73 — clarity can lead to acting according to the Lord’s instruction.</w:t>
      </w:r>
    </w:p>
    <w:p>
      <w:pPr>
        <w:pStyle w:val="ListNumber"/>
      </w:pPr>
      <w:r>
        <w:t>Paraphrase only; no invented dialogue.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 xml:space="preserve">Name two things a person might </w:t>
      </w:r>
      <w:r>
        <w:rPr>
          <w:b/>
        </w:rPr>
        <w:t>not</w:t>
      </w:r>
      <w:r>
        <w:t xml:space="preserve"> control in a hard moment.</w:t>
      </w:r>
    </w:p>
    <w:p>
      <w:pPr>
        <w:pStyle w:val="ListNumber"/>
      </w:pPr>
      <w:r>
        <w:t xml:space="preserve">Name one thing a person </w:t>
      </w:r>
      <w:r>
        <w:rPr>
          <w:b/>
        </w:rPr>
        <w:t>can</w:t>
      </w:r>
      <w:r>
        <w:t xml:space="preserve"> still choose.</w:t>
      </w:r>
    </w:p>
    <w:p>
      <w:pPr>
        <w:pStyle w:val="ListNumber"/>
      </w:pPr>
      <w:r>
        <w:t>Why is “do whatever you feel” not the meaning of this verse?</w:t>
      </w:r>
    </w:p>
    <w:p>
      <w:pPr>
        <w:pStyle w:val="ListNumber"/>
      </w:pPr>
      <w:r>
        <w:t>Why is “I had no choice” incomplete?</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anger:</w:t>
      </w:r>
      <w:r>
        <w:t xml:space="preserve"> Urge to shout/snatch. Mistaken line: “Anger made me do it.” </w:t>
      </w:r>
      <w:r>
        <w:rPr>
          <w:b/>
        </w:rPr>
        <w:t>Card B — Homework vs game:</w:t>
      </w:r>
      <w:r>
        <w:t xml:space="preserve"> Urge to skip work. Mistaken line: “Easy feeling = right choice.” </w:t>
      </w:r>
      <w:r>
        <w:rPr>
          <w:b/>
        </w:rPr>
        <w:t>Card C — Repair after a snap:</w:t>
      </w:r>
      <w:r>
        <w:t xml:space="preserve"> Adult or older child spoke harshly; now what?</w:t>
      </w:r>
    </w:p>
    <w:p>
      <w:r>
        <w:t>For each card, group writes:</w:t>
      </w:r>
    </w:p>
    <w:p>
      <w:pPr>
        <w:pStyle w:val="ListNumber"/>
      </w:pPr>
      <w:r>
        <w:t>What is not fully controlled?</w:t>
      </w:r>
    </w:p>
    <w:p>
      <w:pPr>
        <w:pStyle w:val="ListNumber"/>
      </w:pPr>
      <w:r>
        <w:t>What is the Pause–Remember–Choose path?</w:t>
      </w:r>
    </w:p>
    <w:p>
      <w:pPr>
        <w:pStyle w:val="ListNumber"/>
      </w:pPr>
      <w:r>
        <w:t xml:space="preserve">What should we </w:t>
      </w:r>
      <w:r>
        <w:rPr>
          <w:b/>
        </w:rPr>
        <w:t>not</w:t>
      </w:r>
      <w:r>
        <w:t xml:space="preserve"> say (shame, ranking, public exposure)?</w:t>
      </w:r>
    </w:p>
    <w:p>
      <w:r>
        <w:t>Share one insight per group (60 seconds).</w:t>
      </w:r>
    </w:p>
    <w:p>
      <w:pPr>
        <w:pStyle w:val="Heading3"/>
      </w:pPr>
      <w:r>
        <w:t>28–33 min — Puzzle / game: Responsible Fork</w:t>
      </w:r>
    </w:p>
    <w:p>
      <w:pPr>
        <w:pStyle w:val="ListNumber"/>
      </w:pPr>
      <w:r>
        <w:t>Teacher reads a short fork aloud (two endings).</w:t>
      </w:r>
    </w:p>
    <w:p>
      <w:pPr>
        <w:pStyle w:val="ListNumber"/>
      </w:pPr>
      <w:r>
        <w:t xml:space="preserve">Teams hold up </w:t>
      </w:r>
      <w:r>
        <w:rPr>
          <w:b/>
        </w:rPr>
        <w:t>R</w:t>
      </w:r>
      <w:r>
        <w:t xml:space="preserve"> (responsible next step) or </w:t>
      </w:r>
      <w:r>
        <w:rPr>
          <w:b/>
        </w:rPr>
        <w:t>M</w:t>
      </w:r>
      <w:r>
        <w:t xml:space="preserve"> (mistaken conclusion).</w:t>
      </w:r>
    </w:p>
    <w:p>
      <w:pPr>
        <w:pStyle w:val="ListNumber"/>
      </w:pPr>
      <w:r>
        <w:t>Three rounds, then students explain one “R” choice using the words deliberate or responsibility.</w:t>
      </w:r>
    </w:p>
    <w:p>
      <w:pPr>
        <w:pStyle w:val="ListNumber"/>
      </w:pPr>
      <w:r>
        <w:t>Keep energy respectful; no mocking wrong holds.</w:t>
      </w:r>
    </w:p>
    <w:p>
      <w:pPr>
        <w:pStyle w:val="Heading3"/>
      </w:pPr>
      <w:r>
        <w:t>33–37 min — Diagram task</w:t>
      </w:r>
    </w:p>
    <w:p>
      <w:r>
        <w:t>On the choice-map sheet, students fill one low-risk example (lost pencil, long line, noisy sibling — not forced trauma disclosure):</w:t>
      </w:r>
    </w:p>
    <w:p>
      <w:r>
        <w:rPr>
          <w:rFonts w:ascii="Consolas" w:hAnsi="Consolas"/>
          <w:color w:val="7A263A"/>
          <w:sz w:val="18"/>
        </w:rPr>
        <w:t>Event → Body sensation → Thought → Urge → Choice → Consequence</w:t>
      </w:r>
    </w:p>
    <w:p>
      <w:r>
        <w:t xml:space="preserve">Circle the </w:t>
      </w:r>
      <w:r>
        <w:rPr>
          <w:b/>
        </w:rPr>
        <w:t>Choice</w:t>
      </w:r>
      <w:r>
        <w:t xml:space="preserve"> box and write the memory short echo inside it.</w:t>
      </w:r>
    </w:p>
    <w:p>
      <w:pPr>
        <w:pStyle w:val="Heading3"/>
      </w:pPr>
      <w:r>
        <w:t>37–40 min — Project contribution + reflection + handoff</w:t>
      </w:r>
    </w:p>
    <w:p>
      <w:pPr>
        <w:pStyle w:val="ListNumber"/>
      </w:pPr>
      <w:r>
        <w:t>Complete project half-sheet: “This week my next responsible choice at _________ is _________.”</w:t>
      </w:r>
    </w:p>
    <w:p>
      <w:pPr>
        <w:pStyle w:val="ListNumber"/>
      </w:pPr>
      <w:r>
        <w:t>Reflection (one sentence): How does BG 18.63 challenge both license and fatalism?</w:t>
      </w:r>
    </w:p>
    <w:p>
      <w:pPr>
        <w:pStyle w:val="ListNumber"/>
      </w:pPr>
      <w:r>
        <w:t>Cleanup; bring sheets to reunification.</w:t>
      </w:r>
    </w:p>
    <w:p>
      <w:pPr>
        <w:pStyle w:val="ListNumber"/>
      </w:pPr>
      <w:r>
        <w:t>Parent handoff line: Home practice is Pause–Remember–Choose once daily on the family trigger.</w:t>
      </w:r>
    </w:p>
    <w:p>
      <w:pPr>
        <w:pStyle w:val="Heading2"/>
      </w:pPr>
      <w:r>
        <w:t>Extension (if group finishes early)</w:t>
      </w:r>
    </w:p>
    <w:p>
      <w:r>
        <w:t>Compare BG 3.34 (sense attachment/aversion) with the traffic-light pause: feelings arise; we need not obey every urge. Still no reincarnation teaching.</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map — choice box only.”</w:t>
      </w:r>
    </w:p>
    <w:p>
      <w:pPr>
        <w:pStyle w:val="ListBullet"/>
      </w:pPr>
      <w:r>
        <w:t>No forced confession of real family conflict details.</w:t>
      </w:r>
    </w:p>
    <w:p>
      <w:pPr>
        <w:pStyle w:val="ListBullet"/>
      </w:pPr>
      <w:r>
        <w:t>No ranking scores aloud.</w:t>
      </w:r>
    </w:p>
    <w:p>
      <w:pPr>
        <w:pStyle w:val="ListBullet"/>
      </w:pPr>
      <w:r>
        <w:t>Parents onsite; snack/water belongs to main schedule, not track rewards framed as a meal.</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