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Lato" w:hAnsi="Lato"/>
          <w:b/>
          <w:color w:val="351A4A"/>
          <w:sz w:val="68"/>
        </w:rPr>
        <w:t>KUTUMBA</w:t>
      </w:r>
    </w:p>
    <w:p>
      <w:pPr>
        <w:jc w:val="center"/>
      </w:pPr>
      <w:r>
        <w:rPr>
          <w:rFonts w:ascii="Noto Serif" w:hAnsi="Noto Serif"/>
          <w:i/>
          <w:color w:val="2F7775"/>
          <w:sz w:val="28"/>
        </w:rPr>
        <w:t>Families Growing in Krishna Consciousness</w:t>
      </w:r>
    </w:p>
    <w:p>
      <w:pPr>
        <w:jc w:val="center"/>
      </w:pPr>
      <w:r>
        <w:drawing>
          <wp:inline xmlns:a="http://schemas.openxmlformats.org/drawingml/2006/main" xmlns:pic="http://schemas.openxmlformats.org/drawingml/2006/picture">
            <wp:extent cx="6035040" cy="2492406"/>
            <wp:docPr id="1" name="Picture 1" descr="Decorative lotus line illustration on the KUTUMBA cover." title="Decorative lotus line illustration on the KUTUMBA cover."/>
            <wp:cNvGraphicFramePr>
              <a:graphicFrameLocks noChangeAspect="1"/>
            </wp:cNvGraphicFramePr>
            <a:graphic>
              <a:graphicData uri="http://schemas.openxmlformats.org/drawingml/2006/picture">
                <pic:pic>
                  <pic:nvPicPr>
                    <pic:cNvPr id="0" name="lotus.png"/>
                    <pic:cNvPicPr/>
                  </pic:nvPicPr>
                  <pic:blipFill>
                    <a:blip r:embed="rId11"/>
                    <a:stretch>
                      <a:fillRect/>
                    </a:stretch>
                  </pic:blipFill>
                  <pic:spPr>
                    <a:xfrm>
                      <a:off x="0" y="0"/>
                      <a:ext cx="6035040" cy="2492406"/>
                    </a:xfrm>
                    <a:prstGeom prst="rect"/>
                  </pic:spPr>
                </pic:pic>
              </a:graphicData>
            </a:graphic>
          </wp:inline>
        </w:drawing>
      </w:r>
    </w:p>
    <w:p>
      <w:pPr>
        <w:spacing w:before="80"/>
        <w:jc w:val="center"/>
      </w:pPr>
      <w:r>
        <w:rPr>
          <w:rFonts w:ascii="Lato" w:hAnsi="Lato"/>
          <w:b/>
          <w:color w:val="4D2A6A"/>
          <w:sz w:val="46"/>
        </w:rPr>
        <w:t>KĪRTANA, WORSHIP, PRAYERS</w:t>
        <w:br/>
        <w:t>AND BHAKTI LABORATORIES</w:t>
      </w:r>
    </w:p>
    <w:p>
      <w:pPr>
        <w:spacing w:before="160"/>
        <w:jc w:val="center"/>
      </w:pPr>
      <w:r>
        <w:rPr>
          <w:rFonts w:ascii="Lato" w:hAnsi="Lato"/>
          <w:b/>
          <w:color w:val="D5A93A"/>
          <w:sz w:val="30"/>
        </w:rPr>
        <w:t>Complete Year-One Operating Manual</w:t>
      </w:r>
    </w:p>
    <w:p>
      <w:pPr>
        <w:jc w:val="center"/>
      </w:pPr>
      <w:r>
        <w:rPr>
          <w:rFonts w:ascii="Noto Serif" w:hAnsi="Noto Serif"/>
          <w:i/>
          <w:color w:val="5B6268"/>
          <w:sz w:val="21"/>
        </w:rPr>
        <w:t>Authority model • prayer canon • training pathways • practice laboratories • safety • forms</w:t>
      </w:r>
    </w:p>
    <w:tbl>
      <w:tblPr>
        <w:tblW w:type="auto" w:w="0"/>
        <w:jc w:val="center"/>
        <w:tblLayout w:type="fixed"/>
        <w:tblLook w:firstColumn="1" w:firstRow="1" w:lastColumn="0" w:lastRow="0" w:noHBand="0" w:noVBand="1" w:val="04A0"/>
      </w:tblPr>
      <w:tblGrid>
        <w:gridCol w:w="5083"/>
        <w:gridCol w:w="5083"/>
      </w:tblGrid>
      <w:tr>
        <w:trPr>
          <w:cantSplit/>
        </w:trPr>
        <w:tc>
          <w:tcPr>
            <w:tcW w:type="dxa" w:w="2376"/>
            <w:shd w:fill="F3ECF7"/>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Lato" w:hAnsi="Lato"/>
                <w:b/>
                <w:color w:val="4D2A6A"/>
                <w:sz w:val="16"/>
              </w:rPr>
              <w:t>Document status</w:t>
            </w:r>
          </w:p>
        </w:tc>
        <w:tc>
          <w:tcPr>
            <w:tcW w:type="dxa" w:w="6768"/>
            <w:shd w:fill="FFFFFF"/>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Noto Serif" w:hAnsi="Noto Serif"/>
                <w:color w:val="202124"/>
                <w:sz w:val="17"/>
              </w:rPr>
              <w:t>Working framework for authority review</w:t>
            </w:r>
          </w:p>
        </w:tc>
      </w:tr>
      <w:tr>
        <w:trPr>
          <w:cantSplit/>
        </w:trPr>
        <w:tc>
          <w:tcPr>
            <w:tcW w:type="dxa" w:w="2376"/>
            <w:shd w:fill="F3ECF7"/>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Lato" w:hAnsi="Lato"/>
                <w:b/>
                <w:color w:val="4D2A6A"/>
                <w:sz w:val="16"/>
              </w:rPr>
              <w:t>Version</w:t>
            </w:r>
          </w:p>
        </w:tc>
        <w:tc>
          <w:tcPr>
            <w:tcW w:type="dxa" w:w="6768"/>
            <w:shd w:fill="FFFFFF"/>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Noto Serif" w:hAnsi="Noto Serif"/>
                <w:color w:val="202124"/>
                <w:sz w:val="17"/>
              </w:rPr>
              <w:t>1.0</w:t>
            </w:r>
          </w:p>
        </w:tc>
      </w:tr>
      <w:tr>
        <w:trPr>
          <w:cantSplit/>
        </w:trPr>
        <w:tc>
          <w:tcPr>
            <w:tcW w:type="dxa" w:w="2376"/>
            <w:shd w:fill="F3ECF7"/>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Lato" w:hAnsi="Lato"/>
                <w:b/>
                <w:color w:val="4D2A6A"/>
                <w:sz w:val="16"/>
              </w:rPr>
              <w:t>Prepared</w:t>
            </w:r>
          </w:p>
        </w:tc>
        <w:tc>
          <w:tcPr>
            <w:tcW w:type="dxa" w:w="6768"/>
            <w:shd w:fill="FFFFFF"/>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Noto Serif" w:hAnsi="Noto Serif"/>
                <w:color w:val="202124"/>
                <w:sz w:val="17"/>
              </w:rPr>
              <w:t>29 June 2026</w:t>
            </w:r>
          </w:p>
        </w:tc>
      </w:tr>
      <w:tr>
        <w:trPr>
          <w:cantSplit/>
        </w:trPr>
        <w:tc>
          <w:tcPr>
            <w:tcW w:type="dxa" w:w="2376"/>
            <w:shd w:fill="F3ECF7"/>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Lato" w:hAnsi="Lato"/>
                <w:b/>
                <w:color w:val="4D2A6A"/>
                <w:sz w:val="16"/>
              </w:rPr>
              <w:t>Approval status</w:t>
            </w:r>
          </w:p>
        </w:tc>
        <w:tc>
          <w:tcPr>
            <w:tcW w:type="dxa" w:w="6768"/>
            <w:shd w:fill="FFFFFF"/>
            <w:tcMar>
              <w:top w:w="80" w:type="dxa"/>
              <w:start w:w="90" w:type="dxa"/>
              <w:bottom w:w="80" w:type="dxa"/>
              <w:end w:w="90" w:type="dxa"/>
            </w:tcMar>
            <w:tcBorders>
              <w:top w:val="single" w:sz="3" w:color="D9DEE2"/>
              <w:start w:val="single" w:sz="3" w:color="D9DEE2"/>
              <w:bottom w:val="single" w:sz="3" w:color="D9DEE2"/>
              <w:end w:val="single" w:sz="3" w:color="D9DEE2"/>
            </w:tcBorders>
          </w:tcPr>
          <w:p>
            <w:r>
              <w:rPr>
                <w:rFonts w:ascii="Noto Serif" w:hAnsi="Noto Serif"/>
                <w:color w:val="202124"/>
                <w:sz w:val="17"/>
              </w:rPr>
              <w:t>Exact ritual procedures are not operational until approved</w:t>
            </w:r>
          </w:p>
        </w:tc>
      </w:tr>
    </w:tbl>
    <w:p>
      <w:pPr>
        <w:spacing w:before="360"/>
        <w:jc w:val="center"/>
      </w:pPr>
      <w:r>
        <w:rPr>
          <w:rFonts w:ascii="Noto Serif" w:hAnsi="Noto Serif"/>
          <w:i/>
          <w:color w:val="5B6268"/>
          <w:sz w:val="18"/>
        </w:rPr>
        <w:t>Rooted primarily in Śrīla Prabhupāda’s teachings and aligned with authorised ISKCON standards</w:t>
      </w:r>
    </w:p>
    <w:p>
      <w:r>
        <w:br w:type="page"/>
      </w:r>
    </w:p>
    <w:p>
      <w:pPr>
        <w:pStyle w:val="Heading1"/>
      </w:pPr>
      <w:bookmarkStart w:id="111651" w:name="sec_control"/>
      <w:r>
        <w:t>Document Control and Non-Negotiable Status</w:t>
      </w:r>
      <w:bookmarkEnd w:id="111651"/>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D5A93A"/>
            <w:tcMar>
              <w:top w:w="120" w:type="dxa"/>
              <w:start w:w="120" w:type="dxa"/>
              <w:bottom w:w="120" w:type="dxa"/>
              <w:end w:w="120" w:type="dxa"/>
            </w:tcMar>
            <w:tcBorders>
              <w:top w:val="single" w:sz="6" w:color="D5A93A"/>
              <w:start w:val="single" w:sz="6" w:color="D5A93A"/>
              <w:bottom w:val="single" w:sz="6" w:color="D5A93A"/>
              <w:end w:val="single" w:sz="6" w:color="D5A93A"/>
            </w:tcBorders>
          </w:tcPr>
          <w:p>
            <w:pPr>
              <w:jc w:val="center"/>
            </w:pPr>
            <w:r>
              <w:rPr>
                <w:rFonts w:ascii="Lato" w:hAnsi="Lato"/>
                <w:b/>
                <w:color w:val="FFFFFF"/>
                <w:sz w:val="16"/>
              </w:rPr>
              <w:t>AUTHORITY GATE</w:t>
            </w:r>
          </w:p>
        </w:tc>
        <w:tc>
          <w:tcPr>
            <w:tcW w:type="dxa" w:w="8496"/>
            <w:shd w:fill="FFF5D8"/>
            <w:tcMar>
              <w:top w:w="120" w:type="dxa"/>
              <w:start w:w="120" w:type="dxa"/>
              <w:bottom w:w="120" w:type="dxa"/>
              <w:end w:w="120" w:type="dxa"/>
            </w:tcMar>
            <w:tcBorders>
              <w:top w:val="single" w:sz="6" w:color="D5A93A"/>
              <w:start w:val="single" w:sz="6" w:color="D5A93A"/>
              <w:bottom w:val="single" w:sz="6" w:color="D5A93A"/>
              <w:end w:val="single" w:sz="6" w:color="D5A93A"/>
            </w:tcBorders>
          </w:tcPr>
          <w:p>
            <w:r>
              <w:rPr>
                <w:rFonts w:ascii="Lato" w:hAnsi="Lato"/>
                <w:b/>
                <w:color w:val="D5A93A"/>
                <w:sz w:val="20"/>
              </w:rPr>
              <w:t>Operational status</w:t>
              <w:br/>
            </w:r>
            <w:r>
              <w:rPr>
                <w:rFonts w:ascii="Noto Serif" w:hAnsi="Noto Serif"/>
                <w:color w:val="202124"/>
                <w:sz w:val="19"/>
              </w:rPr>
              <w:t>This manual is a detailed design and training framework. It deliberately does not create an independent pūjā paddhati. Any exact ārati sequence, bhoga-offering mantra set, Deity-handling practice, Tulasī leaf-collection rule, guru-praṇāma order or other restricted procedure remains pending review and written approval by a qualified ISKCON authority.</w:t>
            </w:r>
          </w:p>
        </w:tc>
      </w:tr>
    </w:tbl>
    <w:p>
      <w:pPr>
        <w:spacing w:after="0"/>
      </w:pPr>
    </w:p>
    <w:p>
      <w:pPr>
        <w:pStyle w:val="BodyText"/>
        <w:spacing w:after="80"/>
      </w:pPr>
      <w:r>
        <w:rPr>
          <w:rFonts w:ascii="Noto Serif" w:hAnsi="Noto Serif"/>
          <w:i w:val="0"/>
          <w:color w:val="202124"/>
          <w:sz w:val="20"/>
        </w:rPr>
        <w:t>KUTUMBA’s master operating model requires authorised songs, no invented rituals, practical home worship, monthly laboratories and gradual service after training. It also places kīrtana and worship within a 30-minute Friday opening and a 20-minute bhakti laboratory. [R1]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8"/>
              </w:rPr>
              <w:t>Field</w:t>
            </w:r>
          </w:p>
        </w:tc>
        <w:tc>
          <w:tcPr>
            <w:tcW w:type="dxa" w:w="748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8"/>
              </w:rPr>
              <w:t>Controlled value</w:t>
            </w:r>
          </w:p>
        </w:tc>
      </w:tr>
      <w:tr>
        <w:trPr>
          <w:cantSplit/>
          <w:cantSplit/>
        </w:trPr>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Owner</w:t>
            </w:r>
          </w:p>
        </w:tc>
        <w:tc>
          <w:tcPr>
            <w:tcW w:type="dxa" w:w="74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KUTUMBA Kīrtana and Worship Lead</w:t>
            </w:r>
          </w:p>
        </w:tc>
      </w:tr>
      <w:tr>
        <w:trPr>
          <w:cantSplit/>
          <w:cantSplit/>
        </w:trPr>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Policy approver</w:t>
            </w:r>
          </w:p>
        </w:tc>
        <w:tc>
          <w:tcPr>
            <w:tcW w:type="dxa" w:w="74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Program Director, after qualified ISKCON authority review</w:t>
            </w:r>
          </w:p>
        </w:tc>
      </w:tr>
      <w:tr>
        <w:trPr>
          <w:cantSplit/>
          <w:cantSplit/>
        </w:trPr>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Safety veto</w:t>
            </w:r>
          </w:p>
        </w:tc>
        <w:tc>
          <w:tcPr>
            <w:tcW w:type="dxa" w:w="74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Children and Safety Lead may stop any unsafe activity immediately</w:t>
            </w:r>
          </w:p>
        </w:tc>
      </w:tr>
      <w:tr>
        <w:trPr>
          <w:cantSplit/>
          <w:cantSplit/>
        </w:trPr>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Review cadence</w:t>
            </w:r>
          </w:p>
        </w:tc>
        <w:tc>
          <w:tcPr>
            <w:tcW w:type="dxa" w:w="74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Before launch, after each active cycle, and annually</w:t>
            </w:r>
          </w:p>
        </w:tc>
      </w:tr>
      <w:tr>
        <w:trPr>
          <w:cantSplit/>
          <w:cantSplit/>
        </w:trPr>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Change rule</w:t>
            </w:r>
          </w:p>
        </w:tc>
        <w:tc>
          <w:tcPr>
            <w:tcW w:type="dxa" w:w="74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No song, mantra, ritual step or training privilege is added by informal preference</w:t>
            </w:r>
          </w:p>
        </w:tc>
      </w:tr>
      <w:tr>
        <w:trPr>
          <w:cantSplit/>
          <w:cantSplit/>
        </w:trPr>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Supersession</w:t>
            </w:r>
          </w:p>
        </w:tc>
        <w:tc>
          <w:tcPr>
            <w:tcW w:type="dxa" w:w="74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8"/>
              </w:rPr>
              <w:t>The newest approved version in the repository is the only operational copy</w:t>
            </w:r>
          </w:p>
        </w:tc>
      </w:tr>
    </w:tbl>
    <w:p>
      <w:pPr>
        <w:spacing w:after="0"/>
      </w:pPr>
    </w:p>
    <w:p>
      <w:pPr>
        <w:pStyle w:val="Heading2"/>
      </w:pPr>
      <w:bookmarkStart w:id="12035" w:name="sec_use"/>
      <w:r>
        <w:t>How to Use This Manual</w:t>
      </w:r>
      <w:bookmarkEnd w:id="12035"/>
    </w:p>
    <w:p>
      <w:pPr>
        <w:pStyle w:val="ListBullet"/>
        <w:spacing w:after="30"/>
      </w:pPr>
      <w:r>
        <w:rPr>
          <w:rFonts w:ascii="Noto Serif" w:hAnsi="Noto Serif"/>
          <w:color w:val="202124"/>
          <w:sz w:val="20"/>
        </w:rPr>
        <w:t>Leaders use Sections 1–4 to establish authority, scope and the Year-One sequence.</w:t>
      </w:r>
    </w:p>
    <w:p>
      <w:pPr>
        <w:pStyle w:val="ListBullet"/>
        <w:spacing w:after="30"/>
      </w:pPr>
      <w:r>
        <w:rPr>
          <w:rFonts w:ascii="Noto Serif" w:hAnsi="Noto Serif"/>
          <w:color w:val="202124"/>
          <w:sz w:val="20"/>
        </w:rPr>
        <w:t>Trainers use Sections 5–13 for kīrtana, instruments, japa and devotional-practice laboratories.</w:t>
      </w:r>
    </w:p>
    <w:p>
      <w:pPr>
        <w:pStyle w:val="ListBullet"/>
        <w:spacing w:after="30"/>
      </w:pPr>
      <w:r>
        <w:rPr>
          <w:rFonts w:ascii="Noto Serif" w:hAnsi="Noto Serif"/>
          <w:color w:val="202124"/>
          <w:sz w:val="20"/>
        </w:rPr>
        <w:t>Safety and operations leads use Sections 14–16 before any session involving sound amplification, open flame, hot paraphernalia, tools or children.</w:t>
      </w:r>
    </w:p>
    <w:p>
      <w:pPr>
        <w:pStyle w:val="ListBullet"/>
        <w:spacing w:after="30"/>
      </w:pPr>
      <w:r>
        <w:rPr>
          <w:rFonts w:ascii="Noto Serif" w:hAnsi="Noto Serif"/>
          <w:color w:val="202124"/>
          <w:sz w:val="20"/>
        </w:rPr>
        <w:t>Families use the approved learner sheets and checklists—not this whole manual—as their weekly reference.</w:t>
      </w:r>
    </w:p>
    <w:p>
      <w:pPr>
        <w:pStyle w:val="ListBullet"/>
        <w:spacing w:after="30"/>
      </w:pPr>
      <w:r>
        <w:rPr>
          <w:rFonts w:ascii="Noto Serif" w:hAnsi="Noto Serif"/>
          <w:color w:val="202124"/>
          <w:sz w:val="20"/>
        </w:rPr>
        <w:t>Appendix forms become controlled templates in the repository after local review.</w:t>
      </w:r>
    </w:p>
    <w:p>
      <w:pPr>
        <w:pStyle w:val="Heading1"/>
      </w:pPr>
      <w:bookmarkStart w:id="228882" w:name="toc"/>
      <w:r>
        <w:t>Table of Contents</w:t>
      </w:r>
      <w:bookmarkEnd w:id="228882"/>
    </w:p>
    <w:p>
      <w:pPr>
        <w:spacing w:after="50"/>
        <w:ind w:left="216"/>
      </w:pPr>
      <w:hyperlink w:anchor="sec_exec">
        <w:r>
          <w:rPr>
            <w:rFonts w:ascii="Lato" w:hAnsi="Lato"/>
            <w:color w:val="4D2A6A"/>
            <w:u w:val="single"/>
          </w:rPr>
          <w:t>1. Executive Design</w:t>
        </w:r>
      </w:hyperlink>
    </w:p>
    <w:p>
      <w:pPr>
        <w:spacing w:after="50"/>
        <w:ind w:left="216"/>
      </w:pPr>
      <w:hyperlink w:anchor="sec_authority">
        <w:r>
          <w:rPr>
            <w:rFonts w:ascii="Lato" w:hAnsi="Lato"/>
            <w:color w:val="4D2A6A"/>
            <w:u w:val="single"/>
          </w:rPr>
          <w:t>2. Authority, Governance and Decision Rights</w:t>
        </w:r>
      </w:hyperlink>
    </w:p>
    <w:p>
      <w:pPr>
        <w:spacing w:after="50"/>
        <w:ind w:left="216"/>
      </w:pPr>
      <w:hyperlink w:anchor="sec_year">
        <w:r>
          <w:rPr>
            <w:rFonts w:ascii="Lato" w:hAnsi="Lato"/>
            <w:color w:val="4D2A6A"/>
            <w:u w:val="single"/>
          </w:rPr>
          <w:t>3. Year-One Progression and 40-Week Map</w:t>
        </w:r>
      </w:hyperlink>
    </w:p>
    <w:p>
      <w:pPr>
        <w:spacing w:after="50"/>
        <w:ind w:left="216"/>
      </w:pPr>
      <w:hyperlink w:anchor="sec_canon">
        <w:r>
          <w:rPr>
            <w:rFonts w:ascii="Lato" w:hAnsi="Lato"/>
            <w:color w:val="4D2A6A"/>
            <w:u w:val="single"/>
          </w:rPr>
          <w:t>4. Controlled Prayer and Bhajana Canon</w:t>
        </w:r>
      </w:hyperlink>
    </w:p>
    <w:p>
      <w:pPr>
        <w:spacing w:after="50"/>
        <w:ind w:left="216"/>
      </w:pPr>
      <w:hyperlink w:anchor="sec_pron">
        <w:r>
          <w:rPr>
            <w:rFonts w:ascii="Lato" w:hAnsi="Lato"/>
            <w:color w:val="4D2A6A"/>
            <w:u w:val="single"/>
          </w:rPr>
          <w:t>5. Meaning, Pronunciation and Memorisation</w:t>
        </w:r>
      </w:hyperlink>
    </w:p>
    <w:p>
      <w:pPr>
        <w:spacing w:after="50"/>
        <w:ind w:left="216"/>
      </w:pPr>
      <w:hyperlink w:anchor="sec_friday">
        <w:r>
          <w:rPr>
            <w:rFonts w:ascii="Lato" w:hAnsi="Lato"/>
            <w:color w:val="4D2A6A"/>
            <w:u w:val="single"/>
          </w:rPr>
          <w:t>6. Friday Kīrtana Operating Standard</w:t>
        </w:r>
      </w:hyperlink>
    </w:p>
    <w:p>
      <w:pPr>
        <w:spacing w:after="50"/>
        <w:ind w:left="216"/>
      </w:pPr>
      <w:hyperlink w:anchor="sec_leader">
        <w:r>
          <w:rPr>
            <w:rFonts w:ascii="Lato" w:hAnsi="Lato"/>
            <w:color w:val="4D2A6A"/>
            <w:u w:val="single"/>
          </w:rPr>
          <w:t>7. Kīrtana-Leader and Response-Singing Training</w:t>
        </w:r>
      </w:hyperlink>
    </w:p>
    <w:p>
      <w:pPr>
        <w:spacing w:after="50"/>
        <w:ind w:left="216"/>
      </w:pPr>
      <w:hyperlink w:anchor="sec_instruments">
        <w:r>
          <w:rPr>
            <w:rFonts w:ascii="Lato" w:hAnsi="Lato"/>
            <w:color w:val="4D2A6A"/>
            <w:u w:val="single"/>
          </w:rPr>
          <w:t>8. Kartāla and Mṛdaṅga Training</w:t>
        </w:r>
      </w:hyperlink>
    </w:p>
    <w:p>
      <w:pPr>
        <w:spacing w:after="50"/>
        <w:ind w:left="216"/>
      </w:pPr>
      <w:hyperlink w:anchor="sec_japa">
        <w:r>
          <w:rPr>
            <w:rFonts w:ascii="Lato" w:hAnsi="Lato"/>
            <w:color w:val="4D2A6A"/>
            <w:u w:val="single"/>
          </w:rPr>
          <w:t>9. Japa Formation</w:t>
        </w:r>
      </w:hyperlink>
    </w:p>
    <w:p>
      <w:pPr>
        <w:spacing w:after="50"/>
        <w:ind w:left="216"/>
      </w:pPr>
      <w:hyperlink w:anchor="sec_arati">
        <w:r>
          <w:rPr>
            <w:rFonts w:ascii="Lato" w:hAnsi="Lato"/>
            <w:color w:val="4D2A6A"/>
            <w:u w:val="single"/>
          </w:rPr>
          <w:t>10. Ārati and Bhoga-Offering Training Gates</w:t>
        </w:r>
      </w:hyperlink>
    </w:p>
    <w:p>
      <w:pPr>
        <w:spacing w:after="50"/>
        <w:ind w:left="216"/>
      </w:pPr>
      <w:hyperlink w:anchor="sec_home">
        <w:r>
          <w:rPr>
            <w:rFonts w:ascii="Lato" w:hAnsi="Lato"/>
            <w:color w:val="4D2A6A"/>
            <w:u w:val="single"/>
          </w:rPr>
          <w:t>11. Home Sacred Space and Household Worship</w:t>
        </w:r>
      </w:hyperlink>
    </w:p>
    <w:p>
      <w:pPr>
        <w:spacing w:after="50"/>
        <w:ind w:left="216"/>
      </w:pPr>
      <w:hyperlink w:anchor="sec_modules">
        <w:r>
          <w:rPr>
            <w:rFonts w:ascii="Lato" w:hAnsi="Lato"/>
            <w:color w:val="4D2A6A"/>
            <w:u w:val="single"/>
          </w:rPr>
          <w:t>12. Tulasī, Tilaka, Kanthi and Ekādaśī</w:t>
        </w:r>
      </w:hyperlink>
    </w:p>
    <w:p>
      <w:pPr>
        <w:spacing w:after="50"/>
        <w:ind w:left="216"/>
      </w:pPr>
      <w:hyperlink w:anchor="sec_seva">
        <w:r>
          <w:rPr>
            <w:rFonts w:ascii="Lato" w:hAnsi="Lato"/>
            <w:color w:val="4D2A6A"/>
            <w:u w:val="single"/>
          </w:rPr>
          <w:t>13. Garland, Cleaning and Festival-Sevā Laboratories</w:t>
        </w:r>
      </w:hyperlink>
    </w:p>
    <w:p>
      <w:pPr>
        <w:spacing w:after="50"/>
        <w:ind w:left="216"/>
      </w:pPr>
      <w:hyperlink w:anchor="sec_monthly">
        <w:r>
          <w:rPr>
            <w:rFonts w:ascii="Lato" w:hAnsi="Lato"/>
            <w:color w:val="4D2A6A"/>
            <w:u w:val="single"/>
          </w:rPr>
          <w:t>14. Monthly Practice Workshops</w:t>
        </w:r>
      </w:hyperlink>
    </w:p>
    <w:p>
      <w:pPr>
        <w:spacing w:after="50"/>
        <w:ind w:left="216"/>
      </w:pPr>
      <w:hyperlink w:anchor="sec_comp">
        <w:r>
          <w:rPr>
            <w:rFonts w:ascii="Lato" w:hAnsi="Lato"/>
            <w:color w:val="4D2A6A"/>
            <w:u w:val="single"/>
          </w:rPr>
          <w:t>15. Competency, Assessment and Authorisation</w:t>
        </w:r>
      </w:hyperlink>
    </w:p>
    <w:p>
      <w:pPr>
        <w:spacing w:after="50"/>
        <w:ind w:left="216"/>
      </w:pPr>
      <w:hyperlink w:anchor="sec_safety">
        <w:r>
          <w:rPr>
            <w:rFonts w:ascii="Lato" w:hAnsi="Lato"/>
            <w:color w:val="4D2A6A"/>
            <w:u w:val="single"/>
          </w:rPr>
          <w:t>16. Worship Safety and Cleanliness</w:t>
        </w:r>
      </w:hyperlink>
    </w:p>
    <w:p>
      <w:pPr>
        <w:spacing w:after="50"/>
        <w:ind w:left="216"/>
      </w:pPr>
      <w:hyperlink w:anchor="sec_ops">
        <w:r>
          <w:rPr>
            <w:rFonts w:ascii="Lato" w:hAnsi="Lato"/>
            <w:color w:val="4D2A6A"/>
            <w:u w:val="single"/>
          </w:rPr>
          <w:t>17. Operations, Equipment and Records</w:t>
        </w:r>
      </w:hyperlink>
    </w:p>
    <w:p>
      <w:pPr>
        <w:spacing w:after="50"/>
        <w:ind w:left="216"/>
      </w:pPr>
      <w:hyperlink w:anchor="sec_new">
        <w:r>
          <w:rPr>
            <w:rFonts w:ascii="Lato" w:hAnsi="Lato"/>
            <w:color w:val="4D2A6A"/>
            <w:u w:val="single"/>
          </w:rPr>
          <w:t>18. Newcomers and Inclusive Participation</w:t>
        </w:r>
      </w:hyperlink>
    </w:p>
    <w:p>
      <w:pPr>
        <w:spacing w:after="50"/>
        <w:ind w:left="216"/>
      </w:pPr>
      <w:hyperlink w:anchor="sec_launch">
        <w:r>
          <w:rPr>
            <w:rFonts w:ascii="Lato" w:hAnsi="Lato"/>
            <w:color w:val="4D2A6A"/>
            <w:u w:val="single"/>
          </w:rPr>
          <w:t>19. Launch Plan and Continuous Improvement</w:t>
        </w:r>
      </w:hyperlink>
    </w:p>
    <w:p>
      <w:pPr>
        <w:spacing w:after="50"/>
        <w:ind w:left="216"/>
      </w:pPr>
      <w:hyperlink w:anchor="sec_appendix">
        <w:r>
          <w:rPr>
            <w:rFonts w:ascii="Lato" w:hAnsi="Lato"/>
            <w:color w:val="4D2A6A"/>
            <w:u w:val="single"/>
          </w:rPr>
          <w:t>Appendix A–H. Forms and Templates</w:t>
        </w:r>
      </w:hyperlink>
    </w:p>
    <w:p>
      <w:pPr>
        <w:spacing w:after="50"/>
        <w:ind w:left="216"/>
      </w:pPr>
      <w:hyperlink w:anchor="sec_refs">
        <w:r>
          <w:rPr>
            <w:rFonts w:ascii="Lato" w:hAnsi="Lato"/>
            <w:color w:val="4D2A6A"/>
            <w:u w:val="single"/>
          </w:rPr>
          <w:t>Research and Reference Register</w:t>
        </w:r>
      </w:hyperlink>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w:t>
            </w:r>
          </w:p>
        </w:tc>
        <w:tc>
          <w:tcPr>
            <w:tcW w:type="dxa" w:w="9216"/>
            <w:shd w:fill="351A4A"/>
            <w:tcMar>
              <w:top w:w="140" w:type="dxa"/>
              <w:start w:w="120" w:type="dxa"/>
              <w:bottom w:w="140" w:type="dxa"/>
              <w:end w:w="120" w:type="dxa"/>
            </w:tcMar>
          </w:tcPr>
          <w:p>
            <w:r>
              <w:rPr>
                <w:rFonts w:ascii="Lato" w:hAnsi="Lato"/>
                <w:b/>
                <w:color w:val="FFFFFF"/>
                <w:sz w:val="30"/>
              </w:rPr>
              <w:t>EXECUTIVE DESIGN</w:t>
              <w:br/>
            </w:r>
            <w:r>
              <w:rPr>
                <w:rFonts w:ascii="Noto Serif" w:hAnsi="Noto Serif"/>
                <w:i/>
                <w:color w:val="EEE7F3"/>
                <w:sz w:val="17"/>
              </w:rPr>
              <w:t>What the system is, what it is not, and the launch decision</w:t>
            </w:r>
          </w:p>
        </w:tc>
      </w:tr>
    </w:tbl>
    <w:p>
      <w:pPr>
        <w:spacing w:after="0"/>
      </w:pPr>
    </w:p>
    <w:p>
      <w:pPr>
        <w:pStyle w:val="Heading1"/>
      </w:pPr>
      <w:bookmarkStart w:id="199475" w:name="sec_exec"/>
      <w:r>
        <w:t>1. Executive Design</w:t>
      </w:r>
      <w:bookmarkEnd w:id="199475"/>
    </w:p>
    <w:p>
      <w:pPr>
        <w:pStyle w:val="BodyText"/>
        <w:spacing w:after="80"/>
      </w:pPr>
      <w:r>
        <w:rPr>
          <w:rFonts w:ascii="Noto Serif" w:hAnsi="Noto Serif"/>
          <w:i w:val="0"/>
          <w:color w:val="202124"/>
          <w:sz w:val="20"/>
        </w:rPr>
        <w:t>KUTUMBA should be ambitious in sacred sound, family participation and practical devotional service, but conservative in ritual authority. The program succeeds when every family can participate meaningfully, understand what it sings, establish a realistic home practice and serve safely. It fails when ritual roles are rotated before competence, songs proliferate without control, or musical performance displaces hearing the holy name.</w:t>
      </w: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4D2A6A"/>
            <w:tcMar>
              <w:top w:w="120" w:type="dxa"/>
              <w:start w:w="120" w:type="dxa"/>
              <w:bottom w:w="120" w:type="dxa"/>
              <w:end w:w="120" w:type="dxa"/>
            </w:tcMar>
            <w:tcBorders>
              <w:top w:val="single" w:sz="6" w:color="4D2A6A"/>
              <w:start w:val="single" w:sz="6" w:color="4D2A6A"/>
              <w:bottom w:val="single" w:sz="6" w:color="4D2A6A"/>
              <w:end w:val="single" w:sz="6" w:color="4D2A6A"/>
            </w:tcBorders>
          </w:tcPr>
          <w:p>
            <w:pPr>
              <w:jc w:val="center"/>
            </w:pPr>
            <w:r>
              <w:rPr>
                <w:rFonts w:ascii="Lato" w:hAnsi="Lato"/>
                <w:b/>
                <w:color w:val="FFFFFF"/>
                <w:sz w:val="16"/>
              </w:rPr>
              <w:t>BOUNDARY</w:t>
            </w:r>
          </w:p>
        </w:tc>
        <w:tc>
          <w:tcPr>
            <w:tcW w:type="dxa" w:w="8496"/>
            <w:shd w:fill="F3ECF7"/>
            <w:tcMar>
              <w:top w:w="120" w:type="dxa"/>
              <w:start w:w="120" w:type="dxa"/>
              <w:bottom w:w="120" w:type="dxa"/>
              <w:end w:w="120" w:type="dxa"/>
            </w:tcMar>
            <w:tcBorders>
              <w:top w:val="single" w:sz="6" w:color="4D2A6A"/>
              <w:start w:val="single" w:sz="6" w:color="4D2A6A"/>
              <w:bottom w:val="single" w:sz="6" w:color="4D2A6A"/>
              <w:end w:val="single" w:sz="6" w:color="4D2A6A"/>
            </w:tcBorders>
          </w:tcPr>
          <w:p>
            <w:r>
              <w:rPr>
                <w:rFonts w:ascii="Lato" w:hAnsi="Lato"/>
                <w:b/>
                <w:color w:val="4D2A6A"/>
                <w:sz w:val="20"/>
              </w:rPr>
              <w:t>Recommended launch decision</w:t>
              <w:br/>
            </w:r>
            <w:r>
              <w:rPr>
                <w:rFonts w:ascii="Noto Serif" w:hAnsi="Noto Serif"/>
                <w:color w:val="202124"/>
                <w:sz w:val="19"/>
              </w:rPr>
              <w:t>Launch with congregational kīrtana, approved prayers, prasāda prayers, japa education, simple instrument practice, altar-cleanliness education and low-risk sevā laboratories. Do not launch rotating ārati, formal group bhoga offerings, Deity handling or independent Tulasī leaf collection until written procedures and named servants are approved.</w:t>
            </w:r>
          </w:p>
        </w:tc>
      </w:tr>
    </w:tbl>
    <w:p>
      <w:pPr>
        <w:spacing w:after="0"/>
      </w:pPr>
    </w:p>
    <w:p>
      <w:pPr>
        <w:pStyle w:val="Heading2"/>
      </w:pPr>
      <w:r>
        <w:t>1.1 Design Outcomes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Outcome domain</w:t>
            </w:r>
          </w:p>
        </w:tc>
        <w:tc>
          <w:tcPr>
            <w:tcW w:type="dxa" w:w="482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Year-One result</w:t>
            </w:r>
          </w:p>
        </w:tc>
        <w:tc>
          <w:tcPr>
            <w:tcW w:type="dxa" w:w="36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Evidence</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Knowledge</w:t>
            </w:r>
          </w:p>
        </w:tc>
        <w:tc>
          <w:tcPr>
            <w:tcW w:type="dxa" w:w="48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Families know the purpose and basic meaning of the core prayers, holy name, guru principle, prasāda, Tulasī and home worship.</w:t>
            </w:r>
          </w:p>
        </w:tc>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Short explanation, learner sheet review and scenario questions</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Skill</w:t>
            </w:r>
          </w:p>
        </w:tc>
        <w:tc>
          <w:tcPr>
            <w:tcW w:type="dxa" w:w="48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Participants can respond in kīrtana, use instruments appropriately, chant japa, maintain a sacred space and complete selected sevā.</w:t>
            </w:r>
          </w:p>
        </w:tc>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Observation checklist and supervised demonstration</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Practice</w:t>
            </w:r>
          </w:p>
        </w:tc>
        <w:tc>
          <w:tcPr>
            <w:tcW w:type="dxa" w:w="48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Each family maintains one realistic chanting, reading, offering or worship routine.</w:t>
            </w:r>
          </w:p>
        </w:tc>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Private family practice review</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Character</w:t>
            </w:r>
          </w:p>
        </w:tc>
        <w:tc>
          <w:tcPr>
            <w:tcW w:type="dxa" w:w="48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Service is marked by humility, punctuality, cleanliness, cooperation and receptivity to correction.</w:t>
            </w:r>
          </w:p>
        </w:tc>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Trainer observation over time</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Safety</w:t>
            </w:r>
          </w:p>
        </w:tc>
        <w:tc>
          <w:tcPr>
            <w:tcW w:type="dxa" w:w="48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preventable sound, flame, trip, child-supervision or hygiene incident.</w:t>
            </w:r>
          </w:p>
        </w:tc>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Pre-session checks and incident log</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Authority</w:t>
            </w:r>
          </w:p>
        </w:tc>
        <w:tc>
          <w:tcPr>
            <w:tcW w:type="dxa" w:w="48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Restricted practices are performed only by named, authorised servants.</w:t>
            </w:r>
          </w:p>
        </w:tc>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Current authorisation register</w:t>
            </w:r>
          </w:p>
        </w:tc>
      </w:tr>
    </w:tbl>
    <w:p>
      <w:pPr>
        <w:spacing w:after="0"/>
      </w:pPr>
    </w:p>
    <w:p>
      <w:pPr>
        <w:pStyle w:val="Heading2"/>
      </w:pPr>
      <w:r>
        <w:t>1.2 Core Principles</w:t>
      </w:r>
    </w:p>
    <w:p>
      <w:pPr>
        <w:pStyle w:val="ListBullet"/>
        <w:spacing w:after="30"/>
      </w:pPr>
      <w:r>
        <w:rPr>
          <w:rFonts w:ascii="Noto Serif" w:hAnsi="Noto Serif"/>
          <w:color w:val="202124"/>
          <w:sz w:val="20"/>
        </w:rPr>
        <w:t>The Hare Kṛṣṇa mahā-mantra remains primary in KUTUMBA kīrtana; recognised prayers and bhajanas remain distinct items. [R2]</w:t>
      </w:r>
    </w:p>
    <w:p>
      <w:pPr>
        <w:pStyle w:val="ListBullet"/>
        <w:spacing w:after="30"/>
      </w:pPr>
      <w:r>
        <w:rPr>
          <w:rFonts w:ascii="Noto Serif" w:hAnsi="Noto Serif"/>
          <w:color w:val="202124"/>
          <w:sz w:val="20"/>
        </w:rPr>
        <w:t>The congregation is not divided into male/female, adult/child or similar response teams. [R2]</w:t>
      </w:r>
    </w:p>
    <w:p>
      <w:pPr>
        <w:pStyle w:val="ListBullet"/>
        <w:spacing w:after="30"/>
      </w:pPr>
      <w:r>
        <w:rPr>
          <w:rFonts w:ascii="Noto Serif" w:hAnsi="Noto Serif"/>
          <w:color w:val="202124"/>
          <w:sz w:val="20"/>
        </w:rPr>
        <w:t>Instrument choices follow the context: ārati kīrtana is not treated as a general stage performance. [R3]</w:t>
      </w:r>
    </w:p>
    <w:p>
      <w:pPr>
        <w:pStyle w:val="ListBullet"/>
        <w:spacing w:after="30"/>
      </w:pPr>
      <w:r>
        <w:rPr>
          <w:rFonts w:ascii="Noto Serif" w:hAnsi="Noto Serif"/>
          <w:color w:val="202124"/>
          <w:sz w:val="20"/>
        </w:rPr>
        <w:t>Hearing and chanting remain the life of worship; technique and ritual do not become substitutes for śravaṇam and kīrtanam. [R10]</w:t>
      </w:r>
    </w:p>
    <w:p>
      <w:pPr>
        <w:pStyle w:val="ListBullet"/>
        <w:spacing w:after="30"/>
      </w:pPr>
      <w:r>
        <w:rPr>
          <w:rFonts w:ascii="Noto Serif" w:hAnsi="Noto Serif"/>
          <w:color w:val="202124"/>
          <w:sz w:val="20"/>
        </w:rPr>
        <w:t>No family is pushed into a home-worship standard it cannot maintain consistently.</w:t>
      </w:r>
    </w:p>
    <w:p>
      <w:pPr>
        <w:pStyle w:val="ListBullet"/>
        <w:spacing w:after="30"/>
      </w:pPr>
      <w:r>
        <w:rPr>
          <w:rFonts w:ascii="Noto Serif" w:hAnsi="Noto Serif"/>
          <w:color w:val="202124"/>
          <w:sz w:val="20"/>
        </w:rPr>
        <w:t>Growth is private and non-competitive. No public comparison of rounds, song memory, instrument skill or service visibility.</w:t>
      </w:r>
    </w:p>
    <w:p>
      <w:pPr>
        <w:pStyle w:val="ListBullet"/>
        <w:spacing w:after="30"/>
      </w:pPr>
      <w:r>
        <w:rPr>
          <w:rFonts w:ascii="Noto Serif" w:hAnsi="Noto Serif"/>
          <w:color w:val="202124"/>
          <w:sz w:val="20"/>
        </w:rPr>
        <w:t>Children participate in service but do not carry ritual, flame or supervision responsibility.</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2</w:t>
            </w:r>
          </w:p>
        </w:tc>
        <w:tc>
          <w:tcPr>
            <w:tcW w:type="dxa" w:w="9216"/>
            <w:shd w:fill="351A4A"/>
            <w:tcMar>
              <w:top w:w="140" w:type="dxa"/>
              <w:start w:w="120" w:type="dxa"/>
              <w:bottom w:w="140" w:type="dxa"/>
              <w:end w:w="120" w:type="dxa"/>
            </w:tcMar>
          </w:tcPr>
          <w:p>
            <w:r>
              <w:rPr>
                <w:rFonts w:ascii="Lato" w:hAnsi="Lato"/>
                <w:b/>
                <w:color w:val="FFFFFF"/>
                <w:sz w:val="30"/>
              </w:rPr>
              <w:t>AUTHORITY AND GOVERNANCE</w:t>
              <w:br/>
            </w:r>
            <w:r>
              <w:rPr>
                <w:rFonts w:ascii="Noto Serif" w:hAnsi="Noto Serif"/>
                <w:i/>
                <w:color w:val="EEE7F3"/>
                <w:sz w:val="17"/>
              </w:rPr>
              <w:t>Source hierarchy, decisions, approvals and stop authority</w:t>
            </w:r>
          </w:p>
        </w:tc>
      </w:tr>
    </w:tbl>
    <w:p>
      <w:pPr>
        <w:spacing w:after="0"/>
      </w:pPr>
    </w:p>
    <w:p>
      <w:pPr>
        <w:pStyle w:val="Heading1"/>
      </w:pPr>
      <w:bookmarkStart w:id="990516" w:name="sec_authority"/>
      <w:r>
        <w:t>2. Authority, Governance and Decision Rights</w:t>
      </w:r>
      <w:bookmarkEnd w:id="990516"/>
    </w:p>
    <w:p>
      <w:pPr>
        <w:pStyle w:val="BodyText"/>
        <w:spacing w:after="80"/>
      </w:pPr>
      <w:r>
        <w:rPr>
          <w:rFonts w:ascii="Noto Serif" w:hAnsi="Noto Serif"/>
          <w:i w:val="0"/>
          <w:color w:val="202124"/>
          <w:sz w:val="20"/>
        </w:rPr>
        <w:t>The system needs one clear line of authority. Informal “this is how we do it at home” practices are not automatically suitable for a shared ISKCON-aligned program. The GBC has historically required authorised research and approval for Deity-worship standards, while the ISKCON Deity Worship Ministry maintains structured training and procedures. [R4][R16]</w:t>
      </w:r>
    </w:p>
    <w:p>
      <w:pPr>
        <w:jc w:val="center"/>
      </w:pPr>
      <w:r>
        <w:drawing>
          <wp:inline xmlns:a="http://schemas.openxmlformats.org/drawingml/2006/main" xmlns:pic="http://schemas.openxmlformats.org/drawingml/2006/picture">
            <wp:extent cx="6217920" cy="3934778"/>
            <wp:docPr id="2" name="Picture 2" descr="Authority hierarchy from Srila Prabhupada teachings through GBC and qualified ISKCON authority to approved KUTUMBA family practice." title="Authority hierarchy from Srila Prabhupada teachings through GBC and qualified ISKCON authority to approved KUTUMBA family practice."/>
            <wp:cNvGraphicFramePr>
              <a:graphicFrameLocks noChangeAspect="1"/>
            </wp:cNvGraphicFramePr>
            <a:graphic>
              <a:graphicData uri="http://schemas.openxmlformats.org/drawingml/2006/picture">
                <pic:pic>
                  <pic:nvPicPr>
                    <pic:cNvPr id="0" name="authority.png"/>
                    <pic:cNvPicPr/>
                  </pic:nvPicPr>
                  <pic:blipFill>
                    <a:blip r:embed="rId12"/>
                    <a:stretch>
                      <a:fillRect/>
                    </a:stretch>
                  </pic:blipFill>
                  <pic:spPr>
                    <a:xfrm>
                      <a:off x="0" y="0"/>
                      <a:ext cx="6217920" cy="3934778"/>
                    </a:xfrm>
                    <a:prstGeom prst="rect"/>
                  </pic:spPr>
                </pic:pic>
              </a:graphicData>
            </a:graphic>
          </wp:inline>
        </w:drawing>
      </w:r>
    </w:p>
    <w:p>
      <w:pPr>
        <w:pStyle w:val="Heading2"/>
      </w:pPr>
      <w:r>
        <w:t>2.1 Practice Classes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Class</w:t>
            </w:r>
          </w:p>
        </w:tc>
        <w:tc>
          <w:tcPr>
            <w:tcW w:type="dxa" w:w="381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Scope</w:t>
            </w:r>
          </w:p>
        </w:tc>
        <w:tc>
          <w:tcPr>
            <w:tcW w:type="dxa" w:w="25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Who may teach/perform</w:t>
            </w:r>
          </w:p>
        </w:tc>
        <w:tc>
          <w:tcPr>
            <w:tcW w:type="dxa" w:w="208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Approval</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b/>
                <w:color w:val="2F6F55"/>
                <w:sz w:val="16"/>
              </w:rPr>
              <w:t>A — Congregational</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Mahā-mantra, common praṇāmas, approved prayers, response singing, basic japa, simple instrument exercises.</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Approved KUTUMBA trainer or leader.</w:t>
            </w:r>
          </w:p>
        </w:tc>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Canon and audio must be approved.</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b/>
                <w:color w:val="2F7775"/>
                <w:sz w:val="16"/>
              </w:rPr>
              <w:t>B — Guided household</w:t>
            </w:r>
          </w:p>
        </w:tc>
        <w:tc>
          <w:tcPr>
            <w:tcW w:type="dxa" w:w="38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Simple sacred space, food-offering education, Tulasī care, tilaka, kanthi, Ekādaśī, cleaning and garlands.</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Approved trainer; family applies within defined scope.</w:t>
            </w:r>
          </w:p>
        </w:tc>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Written household standard and local guidance.</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b/>
                <w:color w:val="A84545"/>
                <w:sz w:val="16"/>
              </w:rPr>
              <w:t>C — Restricted worship</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Formal ārati, formal group bhoga offering, Deity handling, abhiṣeka, restricted mantras, training others in formal worship.</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Named, individually authorised servant.</w:t>
            </w:r>
          </w:p>
        </w:tc>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Qualified ISKCON authority approval; service-specific authorisation.</w:t>
            </w:r>
          </w:p>
        </w:tc>
      </w:tr>
    </w:tbl>
    <w:p>
      <w:pPr>
        <w:spacing w:after="0"/>
      </w:pPr>
    </w:p>
    <w:p>
      <w:pPr>
        <w:pStyle w:val="Heading2"/>
      </w:pPr>
      <w:r>
        <w:t>2.2 Roles and Decision Rights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Role</w:t>
            </w:r>
          </w:p>
        </w:tc>
        <w:tc>
          <w:tcPr>
            <w:tcW w:type="dxa" w:w="2951"/>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Accountability</w:t>
            </w:r>
          </w:p>
        </w:tc>
        <w:tc>
          <w:tcPr>
            <w:tcW w:type="dxa" w:w="27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May decide</w:t>
            </w:r>
          </w:p>
        </w:tc>
        <w:tc>
          <w:tcPr>
            <w:tcW w:type="dxa" w:w="244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May not decide alone</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Qualified ISKCON Authority</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Confirms theology and exact worship standards.</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 reject or amend restricted procedures and trainer qualifications.</w:t>
            </w:r>
          </w:p>
        </w:tc>
        <w:tc>
          <w:tcPr>
            <w:tcW w:type="dxa" w:w="24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KUTUMBA attendance, family-care or operational policy.</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Program Director</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Owns integration with charter and temple relationship.</w:t>
            </w:r>
          </w:p>
        </w:tc>
        <w:tc>
          <w:tcPr>
            <w:tcW w:type="dxa" w:w="27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Adopt approved framework, appoint leads, pause the program.</w:t>
            </w:r>
          </w:p>
        </w:tc>
        <w:tc>
          <w:tcPr>
            <w:tcW w:type="dxa" w:w="24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Change an exact worship standard contrary to authority review.</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Kīrtana &amp; Worship Lead</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Owns canon, training, equipment and service register.</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Schedule approved content; approve Class A leaders within policy.</w:t>
            </w:r>
          </w:p>
        </w:tc>
        <w:tc>
          <w:tcPr>
            <w:tcW w:type="dxa" w:w="24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Authorise Class C service without required review.</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Children &amp; Safety Lead</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Owns child, sound, flame, venue and incident controls.</w:t>
            </w:r>
          </w:p>
        </w:tc>
        <w:tc>
          <w:tcPr>
            <w:tcW w:type="dxa" w:w="27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Stop any activity immediately for safety.</w:t>
            </w:r>
          </w:p>
        </w:tc>
        <w:tc>
          <w:tcPr>
            <w:tcW w:type="dxa" w:w="24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Change theological standards.</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Trainer</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Demonstrates, observes and records competence.</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Recommend progression or remediation.</w:t>
            </w:r>
          </w:p>
        </w:tc>
        <w:tc>
          <w:tcPr>
            <w:tcW w:type="dxa" w:w="24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Self-authorise or approve a spouse/family member without independent review.</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Mentor</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Supports newcomers and home practice.</w:t>
            </w:r>
          </w:p>
        </w:tc>
        <w:tc>
          <w:tcPr>
            <w:tcW w:type="dxa" w:w="27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Coach low-risk participation.</w:t>
            </w:r>
          </w:p>
        </w:tc>
        <w:tc>
          <w:tcPr>
            <w:tcW w:type="dxa" w:w="24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Perform confidential surveillance or pressure commitments.</w:t>
            </w:r>
          </w:p>
        </w:tc>
      </w:tr>
    </w:tbl>
    <w:p>
      <w:pPr>
        <w:spacing w:after="0"/>
      </w:pPr>
    </w:p>
    <w:p>
      <w:pPr>
        <w:pStyle w:val="Heading2"/>
      </w:pPr>
      <w:r>
        <w:t>2.3 Approval Lifecycle</w:t>
      </w:r>
    </w:p>
    <w:p>
      <w:pPr>
        <w:jc w:val="center"/>
      </w:pPr>
      <w:r>
        <w:drawing>
          <wp:inline xmlns:a="http://schemas.openxmlformats.org/drawingml/2006/main" xmlns:pic="http://schemas.openxmlformats.org/drawingml/2006/picture">
            <wp:extent cx="6400800" cy="2584423"/>
            <wp:docPr id="3" name="Picture 3" descr="Six-stage service-development gate: observe, learn, shadow, demonstrate, authorise and review." title="Six-stage service-development gate: observe, learn, shadow, demonstrate, authorise and review."/>
            <wp:cNvGraphicFramePr>
              <a:graphicFrameLocks noChangeAspect="1"/>
            </wp:cNvGraphicFramePr>
            <a:graphic>
              <a:graphicData uri="http://schemas.openxmlformats.org/drawingml/2006/picture">
                <pic:pic>
                  <pic:nvPicPr>
                    <pic:cNvPr id="0" name="gate.png"/>
                    <pic:cNvPicPr/>
                  </pic:nvPicPr>
                  <pic:blipFill>
                    <a:blip r:embed="rId13"/>
                    <a:stretch>
                      <a:fillRect/>
                    </a:stretch>
                  </pic:blipFill>
                  <pic:spPr>
                    <a:xfrm>
                      <a:off x="0" y="0"/>
                      <a:ext cx="6400800" cy="2584423"/>
                    </a:xfrm>
                    <a:prstGeom prst="rect"/>
                  </pic:spPr>
                </pic:pic>
              </a:graphicData>
            </a:graphic>
          </wp:inline>
        </w:drawing>
      </w:r>
    </w:p>
    <w:p>
      <w:pPr>
        <w:pStyle w:val="ListNumber"/>
        <w:spacing w:after="40"/>
      </w:pPr>
      <w:r>
        <w:rPr>
          <w:rFonts w:ascii="Noto Serif" w:hAnsi="Noto Serif"/>
          <w:sz w:val="20"/>
        </w:rPr>
        <w:t>Draft the learner-facing or procedure document with a source register and explicit unresolved questions.</w:t>
      </w:r>
    </w:p>
    <w:p>
      <w:pPr>
        <w:pStyle w:val="ListNumber"/>
        <w:spacing w:after="40"/>
      </w:pPr>
      <w:r>
        <w:rPr>
          <w:rFonts w:ascii="Noto Serif" w:hAnsi="Noto Serif"/>
          <w:sz w:val="20"/>
        </w:rPr>
        <w:t>Internal review by the Kīrtana and Worship Lead, Curriculum Lead and Safety Lead.</w:t>
      </w:r>
    </w:p>
    <w:p>
      <w:pPr>
        <w:pStyle w:val="ListNumber"/>
        <w:spacing w:after="40"/>
      </w:pPr>
      <w:r>
        <w:rPr>
          <w:rFonts w:ascii="Noto Serif" w:hAnsi="Noto Serif"/>
          <w:sz w:val="20"/>
        </w:rPr>
        <w:t>Qualified ISKCON authority review for all exact worship procedures and disputed canon items.</w:t>
      </w:r>
    </w:p>
    <w:p>
      <w:pPr>
        <w:pStyle w:val="ListNumber"/>
        <w:spacing w:after="40"/>
      </w:pPr>
      <w:r>
        <w:rPr>
          <w:rFonts w:ascii="Noto Serif" w:hAnsi="Noto Serif"/>
          <w:sz w:val="20"/>
        </w:rPr>
        <w:t>Pilot as demonstration or dry practice only, where safe and permitted.</w:t>
      </w:r>
    </w:p>
    <w:p>
      <w:pPr>
        <w:pStyle w:val="ListNumber"/>
        <w:spacing w:after="40"/>
      </w:pPr>
      <w:r>
        <w:rPr>
          <w:rFonts w:ascii="Noto Serif" w:hAnsi="Noto Serif"/>
          <w:sz w:val="20"/>
        </w:rPr>
        <w:t>Record approval date, scope, trainer, expiry/review date and version.</w:t>
      </w:r>
    </w:p>
    <w:p>
      <w:pPr>
        <w:pStyle w:val="ListNumber"/>
        <w:spacing w:after="40"/>
      </w:pPr>
      <w:r>
        <w:rPr>
          <w:rFonts w:ascii="Noto Serif" w:hAnsi="Noto Serif"/>
          <w:sz w:val="20"/>
        </w:rPr>
        <w:t>Publish only the approved copy; archive and mark all prior copies superseded.</w:t>
      </w:r>
    </w:p>
    <w:p>
      <w:pPr>
        <w:pStyle w:val="ListNumber"/>
        <w:spacing w:after="40"/>
      </w:pPr>
      <w:r>
        <w:rPr>
          <w:rFonts w:ascii="Noto Serif" w:hAnsi="Noto Serif"/>
          <w:sz w:val="20"/>
        </w:rPr>
        <w:t>Review after an incident, doctrinal correction, venue change or material change in local temple guidance.</w:t>
      </w:r>
    </w:p>
    <w:p>
      <w:pPr>
        <w:pStyle w:val="Heading2"/>
      </w:pPr>
      <w:r>
        <w:t>2.4 Change-Control Rules</w:t>
      </w:r>
    </w:p>
    <w:p>
      <w:pPr>
        <w:pStyle w:val="ListBullet"/>
        <w:spacing w:after="30"/>
      </w:pPr>
      <w:r>
        <w:rPr>
          <w:rFonts w:ascii="Noto Serif" w:hAnsi="Noto Serif"/>
          <w:color w:val="202124"/>
          <w:sz w:val="20"/>
        </w:rPr>
        <w:t>A new song request requires author/source, exact text, translation source, intended occasion, audio reference and reviewer decision.</w:t>
      </w:r>
    </w:p>
    <w:p>
      <w:pPr>
        <w:pStyle w:val="ListBullet"/>
        <w:spacing w:after="30"/>
      </w:pPr>
      <w:r>
        <w:rPr>
          <w:rFonts w:ascii="Noto Serif" w:hAnsi="Noto Serif"/>
          <w:color w:val="202124"/>
          <w:sz w:val="20"/>
        </w:rPr>
        <w:t>A preferred melody is not a new canonical text. Melody versions are still controlled because pronunciation and mood can change.</w:t>
      </w:r>
    </w:p>
    <w:p>
      <w:pPr>
        <w:pStyle w:val="ListBullet"/>
        <w:spacing w:after="30"/>
      </w:pPr>
      <w:r>
        <w:rPr>
          <w:rFonts w:ascii="Noto Serif" w:hAnsi="Noto Serif"/>
          <w:color w:val="202124"/>
          <w:sz w:val="20"/>
        </w:rPr>
        <w:t>No one edits mantras on a projected slide minutes before the program.</w:t>
      </w:r>
    </w:p>
    <w:p>
      <w:pPr>
        <w:pStyle w:val="ListBullet"/>
        <w:spacing w:after="30"/>
      </w:pPr>
      <w:r>
        <w:rPr>
          <w:rFonts w:ascii="Noto Serif" w:hAnsi="Noto Serif"/>
          <w:color w:val="202124"/>
          <w:sz w:val="20"/>
        </w:rPr>
        <w:t>No “temporary” ritual step becomes permanent through repetition. Temporary deviations are recorded and reviewed.</w:t>
      </w:r>
    </w:p>
    <w:p>
      <w:pPr>
        <w:pStyle w:val="ListBullet"/>
        <w:spacing w:after="30"/>
      </w:pPr>
      <w:r>
        <w:rPr>
          <w:rFonts w:ascii="Noto Serif" w:hAnsi="Noto Serif"/>
          <w:color w:val="202124"/>
          <w:sz w:val="20"/>
        </w:rPr>
        <w:t>Emergency safety changes can stop or simplify a practice immediately; they cannot create a new ritual standard.</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3</w:t>
            </w:r>
          </w:p>
        </w:tc>
        <w:tc>
          <w:tcPr>
            <w:tcW w:type="dxa" w:w="9216"/>
            <w:shd w:fill="351A4A"/>
            <w:tcMar>
              <w:top w:w="140" w:type="dxa"/>
              <w:start w:w="120" w:type="dxa"/>
              <w:bottom w:w="140" w:type="dxa"/>
              <w:end w:w="120" w:type="dxa"/>
            </w:tcMar>
          </w:tcPr>
          <w:p>
            <w:r>
              <w:rPr>
                <w:rFonts w:ascii="Lato" w:hAnsi="Lato"/>
                <w:b/>
                <w:color w:val="FFFFFF"/>
                <w:sz w:val="30"/>
              </w:rPr>
              <w:t>YEAR-ONE PROGRESSION</w:t>
              <w:br/>
            </w:r>
            <w:r>
              <w:rPr>
                <w:rFonts w:ascii="Noto Serif" w:hAnsi="Noto Serif"/>
                <w:i/>
                <w:color w:val="EEE7F3"/>
                <w:sz w:val="17"/>
              </w:rPr>
              <w:t>Six cycles, four integration weeks and protected breaks</w:t>
            </w:r>
          </w:p>
        </w:tc>
      </w:tr>
    </w:tbl>
    <w:p>
      <w:pPr>
        <w:spacing w:after="0"/>
      </w:pPr>
    </w:p>
    <w:p>
      <w:pPr>
        <w:pStyle w:val="Heading1"/>
      </w:pPr>
      <w:bookmarkStart w:id="390112" w:name="sec_year"/>
      <w:r>
        <w:t>3. Year-One Progression and 40-Week Map</w:t>
      </w:r>
      <w:bookmarkEnd w:id="390112"/>
    </w:p>
    <w:p>
      <w:pPr>
        <w:jc w:val="center"/>
      </w:pPr>
      <w:r>
        <w:drawing>
          <wp:inline xmlns:a="http://schemas.openxmlformats.org/drawingml/2006/main" xmlns:pic="http://schemas.openxmlformats.org/drawingml/2006/picture">
            <wp:extent cx="6400800" cy="2642495"/>
            <wp:docPr id="4" name="Picture 4" descr="Year-One progression through six six-week cycles plus four festival or service integrations, totalling forty active weeks." title="Year-One progression through six six-week cycles plus four festival or service integrations, totalling forty active weeks."/>
            <wp:cNvGraphicFramePr>
              <a:graphicFrameLocks noChangeAspect="1"/>
            </wp:cNvGraphicFramePr>
            <a:graphic>
              <a:graphicData uri="http://schemas.openxmlformats.org/drawingml/2006/picture">
                <pic:pic>
                  <pic:nvPicPr>
                    <pic:cNvPr id="0" name="progression.png"/>
                    <pic:cNvPicPr/>
                  </pic:nvPicPr>
                  <pic:blipFill>
                    <a:blip r:embed="rId14"/>
                    <a:stretch>
                      <a:fillRect/>
                    </a:stretch>
                  </pic:blipFill>
                  <pic:spPr>
                    <a:xfrm>
                      <a:off x="0" y="0"/>
                      <a:ext cx="6400800" cy="2642495"/>
                    </a:xfrm>
                    <a:prstGeom prst="rect"/>
                  </pic:spPr>
                </pic:pic>
              </a:graphicData>
            </a:graphic>
          </wp:inline>
        </w:drawing>
      </w:r>
    </w:p>
    <w:p>
      <w:pPr>
        <w:pStyle w:val="BodyText"/>
        <w:spacing w:after="80"/>
      </w:pPr>
      <w:r>
        <w:rPr>
          <w:rFonts w:ascii="Noto Serif" w:hAnsi="Noto Serif"/>
          <w:i w:val="0"/>
          <w:color w:val="202124"/>
          <w:sz w:val="20"/>
        </w:rPr>
        <w:t>The sequence moves from participation to understanding, then to supervised skill and limited leadership. It does not use a “song of the week” approach that creates shallow exposure. Each cycle teaches one principal prayer or song, one practice domain and one integration outcome.</w:t>
      </w:r>
    </w:p>
    <w:p>
      <w:pPr>
        <w:pStyle w:val="Heading2"/>
      </w:pPr>
      <w:r>
        <w:t>3.1 Active-Week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Active week</w:t>
            </w:r>
          </w:p>
        </w:tc>
        <w:tc>
          <w:tcPr>
            <w:tcW w:type="dxa" w:w="10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Block</w:t>
            </w:r>
          </w:p>
        </w:tc>
        <w:tc>
          <w:tcPr>
            <w:tcW w:type="dxa" w:w="51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Practice focus</w:t>
            </w:r>
          </w:p>
        </w:tc>
        <w:tc>
          <w:tcPr>
            <w:tcW w:type="dxa" w:w="302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Primary output</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Orientation: sacred sound, etiquette, scope and authority</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Family participation baseline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Śrīla Prabhupāda praṇāma</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Pronunciation and meaning</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Pañca-tattva mantra</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Call-and-response mechanics</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4</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Hare Kṛṣṇa mahā-mantra</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Hearing, tempo and attention</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5</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Prasāda prayers and respectful transitions</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Family prayer practice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6</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C1</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Integration: core-prayer presentation and reflection</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Private competency check</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7</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Nṛsiṁha praṇāma and stuti</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 of protection in service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8</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Jaya Rādhā-Mādhava</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Source, mood and explanation</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9</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Kartāla foundations</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Safe grip, pulse and volume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10</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Japa I: sound, beads and posture</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Personal practice plan</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11</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Pronunciation clinic</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Common Sanskrit/Bengali errors</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12</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C2</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Integration: response and rhythm workshop</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Observed practice</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13</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Guru, sādhu and śāstra; common-program guru-praṇāma policy</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Authority clarity</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14</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Gurvaṣṭakam</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Progressive response learning</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15</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Guru-vandanā</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 and family application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16</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Mṛdaṅga orientation</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Handling, posture and first strokes</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17</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Trainee kīrtana leadership I</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8-minute supervised lead</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18</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C3</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Integration: guru and service reflection</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No status competition</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19</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Tulasī praṇāma and approved kīrtana</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Identity, respect and care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20</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Home sacred space I</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Clean, realistic picture altar</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21</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Tilaka</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 and approved demonstration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22</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Kanthi and Ekādaśī</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Identity, calendar and safe observance</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23</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Japa II: attention and distraction</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Family routine design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24</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C4</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Integration: home-practice clinic</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Family plan review</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25</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Philosophy of offering food</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Bhoga, prasāda and gratitude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26</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Bhoga handoff and household offering framework</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Exact procedure remains controlled</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27</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Ārati meaning and observation</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Paraphernalia and safety, no unsupervised flame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28</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Garland laboratory</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Clean surface and safe tools</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29</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Devotional cleaning laboratory</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Sacred/ordinary material separation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30</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C5</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Integration: supervised sevā circuit</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Trainer feedback</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31</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Gaura-ārati: meaning and response</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Approved text/audio only</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32</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Dāmodarāṣṭakam or seasonal equivalent</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Calendar-based learning</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33</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Śikṣāṣṭakam review and selected memorisation</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Verse-to-practice application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34</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Advanced response and instrument cooperation</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Congregation-first musicianship</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35</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Trainee kīrtana leadership II</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Full opening under supervision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36</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C6</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Annual integration and authorisation review</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Private family and servant review</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37</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Festival</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Gaura-pūrṇimā / major spring festival</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Festival kīrtana and sevā</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38</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Festival</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Ratha-yātrā or temple service day</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Public conduct and service</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39</w:t>
            </w:r>
          </w:p>
        </w:tc>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Festival</w:t>
            </w:r>
          </w:p>
        </w:tc>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Janmāṣṭamī</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Prayer, service and worship etiquette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40</w:t>
            </w:r>
          </w:p>
        </w:tc>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Festival</w:t>
            </w:r>
          </w:p>
        </w:tc>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Dāmodara month / Govardhana-pūjā</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Seasonal prayer and family memory</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2F7775"/>
            <w:tcMar>
              <w:top w:w="120" w:type="dxa"/>
              <w:start w:w="120" w:type="dxa"/>
              <w:bottom w:w="120" w:type="dxa"/>
              <w:end w:w="120" w:type="dxa"/>
            </w:tcMar>
            <w:tcBorders>
              <w:top w:val="single" w:sz="6" w:color="2F7775"/>
              <w:start w:val="single" w:sz="6" w:color="2F7775"/>
              <w:bottom w:val="single" w:sz="6" w:color="2F7775"/>
              <w:end w:val="single" w:sz="6" w:color="2F7775"/>
            </w:tcBorders>
          </w:tcPr>
          <w:p>
            <w:pPr>
              <w:jc w:val="center"/>
            </w:pPr>
            <w:r>
              <w:rPr>
                <w:rFonts w:ascii="Lato" w:hAnsi="Lato"/>
                <w:b/>
                <w:color w:val="FFFFFF"/>
                <w:sz w:val="16"/>
              </w:rPr>
              <w:t>GUIDANCE</w:t>
            </w:r>
          </w:p>
        </w:tc>
        <w:tc>
          <w:tcPr>
            <w:tcW w:type="dxa" w:w="8496"/>
            <w:shd w:fill="EAF5F4"/>
            <w:tcMar>
              <w:top w:w="120" w:type="dxa"/>
              <w:start w:w="120" w:type="dxa"/>
              <w:bottom w:w="120" w:type="dxa"/>
              <w:end w:w="120" w:type="dxa"/>
            </w:tcMar>
            <w:tcBorders>
              <w:top w:val="single" w:sz="6" w:color="2F7775"/>
              <w:start w:val="single" w:sz="6" w:color="2F7775"/>
              <w:bottom w:val="single" w:sz="6" w:color="2F7775"/>
              <w:end w:val="single" w:sz="6" w:color="2F7775"/>
            </w:tcBorders>
          </w:tcPr>
          <w:p>
            <w:r>
              <w:rPr>
                <w:rFonts w:ascii="Lato" w:hAnsi="Lato"/>
                <w:b/>
                <w:color w:val="2F7775"/>
                <w:sz w:val="20"/>
              </w:rPr>
              <w:t>Calendar discipline</w:t>
              <w:br/>
            </w:r>
            <w:r>
              <w:rPr>
                <w:rFonts w:ascii="Noto Serif" w:hAnsi="Noto Serif"/>
                <w:color w:val="202124"/>
                <w:sz w:val="19"/>
              </w:rPr>
              <w:t>Each festival, workshop or service day replaces the normal Friday gathering. KUTUMBA does not create an additional weekly burden. The six cycle breaks and six other holiday/weather/family buffers remain protected.</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4</w:t>
            </w:r>
          </w:p>
        </w:tc>
        <w:tc>
          <w:tcPr>
            <w:tcW w:type="dxa" w:w="9216"/>
            <w:shd w:fill="351A4A"/>
            <w:tcMar>
              <w:top w:w="140" w:type="dxa"/>
              <w:start w:w="120" w:type="dxa"/>
              <w:bottom w:w="140" w:type="dxa"/>
              <w:end w:w="120" w:type="dxa"/>
            </w:tcMar>
          </w:tcPr>
          <w:p>
            <w:r>
              <w:rPr>
                <w:rFonts w:ascii="Lato" w:hAnsi="Lato"/>
                <w:b/>
                <w:color w:val="FFFFFF"/>
                <w:sz w:val="30"/>
              </w:rPr>
              <w:t>CONTROLLED CANON</w:t>
              <w:br/>
            </w:r>
            <w:r>
              <w:rPr>
                <w:rFonts w:ascii="Noto Serif" w:hAnsi="Noto Serif"/>
                <w:i/>
                <w:color w:val="EEE7F3"/>
                <w:sz w:val="17"/>
              </w:rPr>
              <w:t>Proposed prayer and bhajana library for authority review</w:t>
            </w:r>
          </w:p>
        </w:tc>
      </w:tr>
    </w:tbl>
    <w:p>
      <w:pPr>
        <w:spacing w:after="0"/>
      </w:pPr>
    </w:p>
    <w:p>
      <w:pPr>
        <w:pStyle w:val="Heading1"/>
      </w:pPr>
      <w:bookmarkStart w:id="187486" w:name="sec_canon"/>
      <w:r>
        <w:t>4. Controlled Prayer and Bhajana Canon</w:t>
      </w:r>
      <w:bookmarkEnd w:id="187486"/>
    </w:p>
    <w:p>
      <w:pPr>
        <w:pStyle w:val="BodyText"/>
        <w:spacing w:after="80"/>
      </w:pPr>
      <w:r>
        <w:rPr>
          <w:rFonts w:ascii="Noto Serif" w:hAnsi="Noto Serif"/>
          <w:i w:val="0"/>
          <w:color w:val="202124"/>
          <w:sz w:val="20"/>
        </w:rPr>
        <w:t>This is a proposed Year-One canon, not a licence to use any attractive devotional song. The canonical register controls exact text, author, translation, approved audio, learning level and occasion. The mahā-mantra remains primary in kīrtana, while recognised bhajanas and prayers retain their own proper place. [R2]</w:t>
      </w:r>
    </w:p>
    <w:p>
      <w:pPr>
        <w:pStyle w:val="Heading2"/>
      </w:pPr>
      <w:r>
        <w:t>4.1 Learning Tiers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Tier</w:t>
            </w:r>
          </w:p>
        </w:tc>
        <w:tc>
          <w:tcPr>
            <w:tcW w:type="dxa" w:w="381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Expectation</w:t>
            </w:r>
          </w:p>
        </w:tc>
        <w:tc>
          <w:tcPr>
            <w:tcW w:type="dxa" w:w="51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Use</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Tier 0 — Essential</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Every family learns and can join without a sheet.</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Core praṇāmas, Pañca-tattva, mahā-mantra and prasāda prayers.</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Tier 1 — Year-One core</w:t>
            </w:r>
          </w:p>
        </w:tc>
        <w:tc>
          <w:tcPr>
            <w:tcW w:type="dxa" w:w="38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Confident response; adults and older children know basic meaning.</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Jaya Rādhā-Mādhava, Nṛsiṁha prayers, Gurvaṣṭakam, Guru-vandanā, Tulasī prayers.</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Tier 2 — Seasonal / contextual</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Learn when the calendar or module requires it.</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Dāmodarāṣṭakam, Gaura-ārati, bhoga-ārati song and selected bhajanas.</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Tier 3 — Later / enrichment</w:t>
            </w:r>
          </w:p>
        </w:tc>
        <w:tc>
          <w:tcPr>
            <w:tcW w:type="dxa" w:w="38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Exposure only unless a later curriculum approves mastery.</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Additional authorised Vaiṣṇava songs and advanced meanings.</w:t>
            </w:r>
          </w:p>
        </w:tc>
      </w:tr>
    </w:tbl>
    <w:p>
      <w:pPr>
        <w:spacing w:after="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ID</w:t>
            </w:r>
          </w:p>
        </w:tc>
        <w:tc>
          <w:tcPr>
            <w:tcW w:type="dxa" w:w="33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Item</w:t>
            </w:r>
          </w:p>
        </w:tc>
        <w:tc>
          <w:tcPr>
            <w:tcW w:type="dxa" w:w="122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Tier</w:t>
            </w:r>
          </w:p>
        </w:tc>
        <w:tc>
          <w:tcPr>
            <w:tcW w:type="dxa" w:w="223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Year-One use</w:t>
            </w:r>
          </w:p>
        </w:tc>
        <w:tc>
          <w:tcPr>
            <w:tcW w:type="dxa" w:w="266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5"/>
              </w:rPr>
              <w:t>Control note</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C-001</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Śrīla Prabhupāda praṇāma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Every Friday; memorise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Common text; verify exact transliteration</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C-002</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Common guru-praṇāma framework</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 / controlled</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As approved</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Policy required for mixed congregation</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C-003</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 Pañca-tattva mantra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Before mahā-mantra</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Memorise</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C-004</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Hare Kṛṣṇa mahā-mantra</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Primary kīrtana mantra</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Memorise; lead progressively</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C-005</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Nṛsiṁha praṇāma and standard stuti</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Closing / protection prayers</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Approved text and tune</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C-006</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Mahā-prasāda prayer</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Before prasāda</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 and respect</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C-007</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Śarīra avidyā-jāl</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0</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Before prasāda</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Bengali pronunciation review</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C-008</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Jaya Rādhā-Mādhava</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Class / remembrance</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Use Prabhupāda source and purport [R14]</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C-009</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 Śrī Gurvaṣṭakam</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Guru module / maṅgala context</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Progressive learning</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C-010</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 Guru-caraṇa-padma (Guru-vandanā)</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Guru module / bhajana</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Meaning-led learning</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C-011</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Tulasī praṇāma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Tulasī module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Authority-approved text</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C-012</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Namo namaḥ Tulasī kṛṣṇa-preyasi</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Tulasī kīrtana</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Approved audio</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C-013</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Śrī Dāmodarāṣṭakam</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Kārtika / Dāmodara month</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Seasonal; avoid rushed memorisation</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C-014</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Śikṣāṣṭakam</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1/2</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One verse per cycle; all eight explained</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Text from CC Antya 20 [R8]</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C-015</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Jaya Jaya Gorācānder Āratiko Śobhā (Gaura-ārati)</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Approved ārati or festival context</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Text/tune controlled</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C-016</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Bhoga-ārati song</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Offering education / approved context</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Do not imply authorisation to offer</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C-017</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Yaśomatī-nandana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Kṛṣṇa-name bhajana</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Meaning review required</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C-018</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Hari Haraye Namaḥ Kṛṣṇa</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Congregational bhajana</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Approved source/tune</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C-019</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Bhajahu Re Mana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2/3</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Mind and practice module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Later Year One</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C-020</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Gaurāṅga Bolite Habe</w:t>
            </w:r>
          </w:p>
        </w:tc>
        <w:tc>
          <w:tcPr>
            <w:tcW w:type="dxa" w:w="12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2/3</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Aspiration and humility</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Later Year One</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C-021</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Mānasa Deha Geha</w:t>
            </w:r>
          </w:p>
        </w:tc>
        <w:tc>
          <w:tcPr>
            <w:tcW w:type="dxa" w:w="12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Tier 3</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Surrender / family life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5"/>
              </w:rPr>
              <w:t>Prefer Year Two unless authority approves</w:t>
            </w:r>
          </w:p>
        </w:tc>
      </w:tr>
    </w:tbl>
    <w:p>
      <w:pPr>
        <w:spacing w:after="0"/>
      </w:pPr>
    </w:p>
    <w:p>
      <w:pPr>
        <w:pStyle w:val="Heading2"/>
      </w:pPr>
      <w:r>
        <w:t>4.2 Explicit Exclusions</w:t>
      </w:r>
    </w:p>
    <w:p>
      <w:pPr>
        <w:pStyle w:val="ListBullet"/>
        <w:spacing w:after="30"/>
      </w:pPr>
      <w:r>
        <w:rPr>
          <w:rFonts w:ascii="Noto Serif" w:hAnsi="Noto Serif"/>
          <w:color w:val="202124"/>
          <w:sz w:val="20"/>
        </w:rPr>
        <w:t>Movie melodies, commercial devotional remixes or tunes whose main association is non-devotional entertainment.</w:t>
      </w:r>
    </w:p>
    <w:p>
      <w:pPr>
        <w:pStyle w:val="ListBullet"/>
        <w:spacing w:after="30"/>
      </w:pPr>
      <w:r>
        <w:rPr>
          <w:rFonts w:ascii="Noto Serif" w:hAnsi="Noto Serif"/>
          <w:color w:val="202124"/>
          <w:sz w:val="20"/>
        </w:rPr>
        <w:t>Newly invented mantras, slogans or repetitive formulations not introduced by Śrīla Prabhupāda, previous authorised ācāryas or śāstra. [R2]</w:t>
      </w:r>
    </w:p>
    <w:p>
      <w:pPr>
        <w:pStyle w:val="ListBullet"/>
        <w:spacing w:after="30"/>
      </w:pPr>
      <w:r>
        <w:rPr>
          <w:rFonts w:ascii="Noto Serif" w:hAnsi="Noto Serif"/>
          <w:color w:val="202124"/>
          <w:sz w:val="20"/>
        </w:rPr>
        <w:t>Songs with uncertain authorship or meaning that the leader cannot explain.</w:t>
      </w:r>
    </w:p>
    <w:p>
      <w:pPr>
        <w:pStyle w:val="ListBullet"/>
        <w:spacing w:after="30"/>
      </w:pPr>
      <w:r>
        <w:rPr>
          <w:rFonts w:ascii="Noto Serif" w:hAnsi="Noto Serif"/>
          <w:color w:val="202124"/>
          <w:sz w:val="20"/>
        </w:rPr>
        <w:t>Confidential or advanced līlā songs unsuitable for a mixed beginner family program.</w:t>
      </w:r>
    </w:p>
    <w:p>
      <w:pPr>
        <w:pStyle w:val="ListBullet"/>
        <w:spacing w:after="30"/>
      </w:pPr>
      <w:r>
        <w:rPr>
          <w:rFonts w:ascii="Noto Serif" w:hAnsi="Noto Serif"/>
          <w:color w:val="202124"/>
          <w:sz w:val="20"/>
        </w:rPr>
        <w:t>Any text copied from a random video description without verification against a controlled source.</w:t>
      </w:r>
    </w:p>
    <w:p>
      <w:pPr>
        <w:pStyle w:val="ListBullet"/>
        <w:spacing w:after="30"/>
      </w:pPr>
      <w:r>
        <w:rPr>
          <w:rFonts w:ascii="Noto Serif" w:hAnsi="Noto Serif"/>
          <w:color w:val="202124"/>
          <w:sz w:val="20"/>
        </w:rPr>
        <w:t>Unapproved changes to names, word endings, order or translation for musical convenience.</w:t>
      </w:r>
    </w:p>
    <w:p>
      <w:pPr>
        <w:pStyle w:val="Heading2"/>
      </w:pPr>
      <w:r>
        <w:t>4.3 Common-Program Guru-Praṇāma Policy</w:t>
      </w: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D5A93A"/>
            <w:tcMar>
              <w:top w:w="120" w:type="dxa"/>
              <w:start w:w="120" w:type="dxa"/>
              <w:bottom w:w="120" w:type="dxa"/>
              <w:end w:w="120" w:type="dxa"/>
            </w:tcMar>
            <w:tcBorders>
              <w:top w:val="single" w:sz="6" w:color="D5A93A"/>
              <w:start w:val="single" w:sz="6" w:color="D5A93A"/>
              <w:bottom w:val="single" w:sz="6" w:color="D5A93A"/>
              <w:end w:val="single" w:sz="6" w:color="D5A93A"/>
            </w:tcBorders>
          </w:tcPr>
          <w:p>
            <w:pPr>
              <w:jc w:val="center"/>
            </w:pPr>
            <w:r>
              <w:rPr>
                <w:rFonts w:ascii="Lato" w:hAnsi="Lato"/>
                <w:b/>
                <w:color w:val="FFFFFF"/>
                <w:sz w:val="16"/>
              </w:rPr>
              <w:t>AUTHORITY GATE</w:t>
            </w:r>
          </w:p>
        </w:tc>
        <w:tc>
          <w:tcPr>
            <w:tcW w:type="dxa" w:w="8496"/>
            <w:shd w:fill="FFF5D8"/>
            <w:tcMar>
              <w:top w:w="120" w:type="dxa"/>
              <w:start w:w="120" w:type="dxa"/>
              <w:bottom w:w="120" w:type="dxa"/>
              <w:end w:w="120" w:type="dxa"/>
            </w:tcMar>
            <w:tcBorders>
              <w:top w:val="single" w:sz="6" w:color="D5A93A"/>
              <w:start w:val="single" w:sz="6" w:color="D5A93A"/>
              <w:bottom w:val="single" w:sz="6" w:color="D5A93A"/>
              <w:end w:val="single" w:sz="6" w:color="D5A93A"/>
            </w:tcBorders>
          </w:tcPr>
          <w:p>
            <w:r>
              <w:rPr>
                <w:rFonts w:ascii="Lato" w:hAnsi="Lato"/>
                <w:b/>
                <w:color w:val="D5A93A"/>
                <w:sz w:val="20"/>
              </w:rPr>
              <w:t>Policy required before launch</w:t>
              <w:br/>
            </w:r>
            <w:r>
              <w:rPr>
                <w:rFonts w:ascii="Noto Serif" w:hAnsi="Noto Serif"/>
                <w:color w:val="202124"/>
                <w:sz w:val="19"/>
              </w:rPr>
              <w:t>KUTUMBA may include uninitiated participants and disciples of different initiating gurus. The local authority must approve the common sequence, how individual guru-praṇāmas are handled, and what learner sheets display. Uninitiated participants are not assigned an individual initiating-guru praṇāma.</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5</w:t>
            </w:r>
          </w:p>
        </w:tc>
        <w:tc>
          <w:tcPr>
            <w:tcW w:type="dxa" w:w="9216"/>
            <w:shd w:fill="351A4A"/>
            <w:tcMar>
              <w:top w:w="140" w:type="dxa"/>
              <w:start w:w="120" w:type="dxa"/>
              <w:bottom w:w="140" w:type="dxa"/>
              <w:end w:w="120" w:type="dxa"/>
            </w:tcMar>
          </w:tcPr>
          <w:p>
            <w:r>
              <w:rPr>
                <w:rFonts w:ascii="Lato" w:hAnsi="Lato"/>
                <w:b/>
                <w:color w:val="FFFFFF"/>
                <w:sz w:val="30"/>
              </w:rPr>
              <w:t>MEANING AND PRONUNCIATION</w:t>
              <w:br/>
            </w:r>
            <w:r>
              <w:rPr>
                <w:rFonts w:ascii="Noto Serif" w:hAnsi="Noto Serif"/>
                <w:i/>
                <w:color w:val="EEE7F3"/>
                <w:sz w:val="17"/>
              </w:rPr>
              <w:t>Controlled learner sheets, audio masters and memory progression</w:t>
            </w:r>
          </w:p>
        </w:tc>
      </w:tr>
    </w:tbl>
    <w:p>
      <w:pPr>
        <w:spacing w:after="0"/>
      </w:pPr>
    </w:p>
    <w:p>
      <w:pPr>
        <w:pStyle w:val="Heading1"/>
      </w:pPr>
      <w:bookmarkStart w:id="172130" w:name="sec_pron"/>
      <w:r>
        <w:t>5. Meaning, Pronunciation and Memorisation</w:t>
      </w:r>
      <w:bookmarkEnd w:id="172130"/>
    </w:p>
    <w:p>
      <w:pPr>
        <w:pStyle w:val="Heading2"/>
      </w:pPr>
      <w:r>
        <w:t>5.1 Required Learner-Sheet Fields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Field</w:t>
            </w:r>
          </w:p>
        </w:tc>
        <w:tc>
          <w:tcPr>
            <w:tcW w:type="dxa" w:w="79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Required content</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Identity</w:t>
            </w:r>
          </w:p>
        </w:tc>
        <w:tc>
          <w:tcPr>
            <w:tcW w:type="dxa" w:w="79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Canon ID, title, author/ācārya, textual source and approved version.</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Text</w:t>
            </w:r>
          </w:p>
        </w:tc>
        <w:tc>
          <w:tcPr>
            <w:tcW w:type="dxa" w:w="79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IAST transliteration; optional Devanāgarī/Bengali only when useful.</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Learner line</w:t>
            </w:r>
          </w:p>
        </w:tc>
        <w:tc>
          <w:tcPr>
            <w:tcW w:type="dxa" w:w="79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Syllable-separated pronunciation aid without replacing the canonical text.</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Audio</w:t>
            </w:r>
          </w:p>
        </w:tc>
        <w:tc>
          <w:tcPr>
            <w:tcW w:type="dxa" w:w="79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approved lead-and-response file and one slow pronunciation file.</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Meaning</w:t>
            </w:r>
          </w:p>
        </w:tc>
        <w:tc>
          <w:tcPr>
            <w:tcW w:type="dxa" w:w="79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Brief overall meaning plus key words; no unverified translation.</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Occasion</w:t>
            </w:r>
          </w:p>
        </w:tc>
        <w:tc>
          <w:tcPr>
            <w:tcW w:type="dxa" w:w="79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When it is sung, and when it is not.</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Learning level</w:t>
            </w:r>
          </w:p>
        </w:tc>
        <w:tc>
          <w:tcPr>
            <w:tcW w:type="dxa" w:w="79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Listen, respond, recite, memorise, lead or explain.</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Control</w:t>
            </w:r>
          </w:p>
        </w:tc>
        <w:tc>
          <w:tcPr>
            <w:tcW w:type="dxa" w:w="79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Reviewer, approval date, version and next review date.</w:t>
            </w:r>
          </w:p>
        </w:tc>
      </w:tr>
    </w:tbl>
    <w:p>
      <w:pPr>
        <w:spacing w:after="0"/>
      </w:pPr>
    </w:p>
    <w:p>
      <w:pPr>
        <w:pStyle w:val="Heading2"/>
      </w:pPr>
      <w:r>
        <w:t>5.2 Pronunciation Key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Symbol</w:t>
            </w:r>
          </w:p>
        </w:tc>
        <w:tc>
          <w:tcPr>
            <w:tcW w:type="dxa" w:w="3311"/>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Practical guide</w:t>
            </w:r>
          </w:p>
        </w:tc>
        <w:tc>
          <w:tcPr>
            <w:tcW w:type="dxa" w:w="568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Common error to avoid</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ā</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long a as in father</w:t>
            </w:r>
          </w:p>
        </w:tc>
        <w:tc>
          <w:tcPr>
            <w:tcW w:type="dxa" w:w="56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 not shorten names such as Rādhā.</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ī</w:t>
            </w:r>
          </w:p>
        </w:tc>
        <w:tc>
          <w:tcPr>
            <w:tcW w:type="dxa" w:w="331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long ee</w:t>
            </w:r>
          </w:p>
        </w:tc>
        <w:tc>
          <w:tcPr>
            <w:tcW w:type="dxa" w:w="56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 not pronounce as short i.</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ū</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long oo</w:t>
            </w:r>
          </w:p>
        </w:tc>
        <w:tc>
          <w:tcPr>
            <w:tcW w:type="dxa" w:w="56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Keep the vowel clean, not a diphthong.</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ṛ</w:t>
            </w:r>
          </w:p>
        </w:tc>
        <w:tc>
          <w:tcPr>
            <w:tcW w:type="dxa" w:w="331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syllabic r, taught through approved audio</w:t>
            </w:r>
          </w:p>
        </w:tc>
        <w:tc>
          <w:tcPr>
            <w:tcW w:type="dxa" w:w="56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Avoid forcing an English “ree” everywhere.</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ch as in church</w:t>
            </w:r>
          </w:p>
        </w:tc>
        <w:tc>
          <w:tcPr>
            <w:tcW w:type="dxa" w:w="56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Not k or s.</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ś / ṣ</w:t>
            </w:r>
          </w:p>
        </w:tc>
        <w:tc>
          <w:tcPr>
            <w:tcW w:type="dxa" w:w="331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sh sounds with distinct articulation</w:t>
            </w:r>
          </w:p>
        </w:tc>
        <w:tc>
          <w:tcPr>
            <w:tcW w:type="dxa" w:w="56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Beginners may approximate, but leaders should train accurately.</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ṅ / ñ / ṇ</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nasal consonants determined by position</w:t>
            </w:r>
          </w:p>
        </w:tc>
        <w:tc>
          <w:tcPr>
            <w:tcW w:type="dxa" w:w="56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 not delete the nasal sound.</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ai</w:t>
            </w:r>
          </w:p>
        </w:tc>
        <w:tc>
          <w:tcPr>
            <w:tcW w:type="dxa" w:w="331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approximately eye</w:t>
            </w:r>
          </w:p>
        </w:tc>
        <w:tc>
          <w:tcPr>
            <w:tcW w:type="dxa" w:w="56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Avoid flat English “ay.”</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e / o</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normally long, clean vowels</w:t>
            </w:r>
          </w:p>
        </w:tc>
        <w:tc>
          <w:tcPr>
            <w:tcW w:type="dxa" w:w="56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Avoid reducing to a weak schwa.</w:t>
            </w:r>
          </w:p>
        </w:tc>
      </w:tr>
    </w:tbl>
    <w:p>
      <w:pPr>
        <w:spacing w:after="0"/>
      </w:pPr>
    </w:p>
    <w:p>
      <w:pPr>
        <w:pStyle w:val="Heading2"/>
      </w:pPr>
      <w:r>
        <w:t>5.3 Provisional Core Texts for Verification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D5A93A"/>
            <w:tcMar>
              <w:top w:w="120" w:type="dxa"/>
              <w:start w:w="120" w:type="dxa"/>
              <w:bottom w:w="120" w:type="dxa"/>
              <w:end w:w="120" w:type="dxa"/>
            </w:tcMar>
            <w:tcBorders>
              <w:top w:val="single" w:sz="6" w:color="D5A93A"/>
              <w:start w:val="single" w:sz="6" w:color="D5A93A"/>
              <w:bottom w:val="single" w:sz="6" w:color="D5A93A"/>
              <w:end w:val="single" w:sz="6" w:color="D5A93A"/>
            </w:tcBorders>
          </w:tcPr>
          <w:p>
            <w:pPr>
              <w:jc w:val="center"/>
            </w:pPr>
            <w:r>
              <w:rPr>
                <w:rFonts w:ascii="Lato" w:hAnsi="Lato"/>
                <w:b/>
                <w:color w:val="FFFFFF"/>
                <w:sz w:val="16"/>
              </w:rPr>
              <w:t>AUTHORITY GATE</w:t>
            </w:r>
          </w:p>
        </w:tc>
        <w:tc>
          <w:tcPr>
            <w:tcW w:type="dxa" w:w="8496"/>
            <w:shd w:fill="FFF5D8"/>
            <w:tcMar>
              <w:top w:w="120" w:type="dxa"/>
              <w:start w:w="120" w:type="dxa"/>
              <w:bottom w:w="120" w:type="dxa"/>
              <w:end w:w="120" w:type="dxa"/>
            </w:tcMar>
            <w:tcBorders>
              <w:top w:val="single" w:sz="6" w:color="D5A93A"/>
              <w:start w:val="single" w:sz="6" w:color="D5A93A"/>
              <w:bottom w:val="single" w:sz="6" w:color="D5A93A"/>
              <w:end w:val="single" w:sz="6" w:color="D5A93A"/>
            </w:tcBorders>
          </w:tcPr>
          <w:p>
            <w:r>
              <w:rPr>
                <w:rFonts w:ascii="Lato" w:hAnsi="Lato"/>
                <w:b/>
                <w:color w:val="D5A93A"/>
                <w:sz w:val="20"/>
              </w:rPr>
              <w:t>Text-control warning</w:t>
              <w:br/>
            </w:r>
            <w:r>
              <w:rPr>
                <w:rFonts w:ascii="Noto Serif" w:hAnsi="Noto Serif"/>
                <w:color w:val="202124"/>
                <w:sz w:val="19"/>
              </w:rPr>
              <w:t>The following traditional texts are included as a working reference. The final prayer sheet must be checked against the locally approved ISKCON version and approved audio before use. Longer songs are controlled through the canon register rather than reproduced in full here.</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Śrīla Prabhupāda praṇāma</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nama oṁ viṣṇu-pādāya kṛṣṇa-preṣṭhāya bhū-tale</w:t>
              <w:br/>
              <w:t>śrīmate bhaktivedānta-svāmin iti nāmine</w:t>
              <w:br/>
              <w:t>namas te sārasvate deve gaura-vāṇī-pracāriṇe</w:t>
              <w:br/>
              <w:t>nirviśeṣa-śūnyavādi-pāścātya-deśa-tāriṇe</w:t>
              <w:br/>
            </w:r>
            <w:r>
              <w:rPr>
                <w:rFonts w:ascii="Noto Serif" w:hAnsi="Noto Serif"/>
                <w:color w:val="5B6268"/>
                <w:sz w:val="16"/>
              </w:rPr>
              <w:t>Meaning focus: Respectful obeisances to Śrīla Prabhupāda and his service carrying Lord Caitanya’s message.</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Śrī Pañca-tattva mantra</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śrī-kṛṣṇa-caitanya prabhu-nityānanda</w:t>
              <w:br/>
              <w:t>śrī-advaita gadādhara śrīvāsādi-gaura-bhakta-vṛnda</w:t>
              <w:br/>
            </w:r>
            <w:r>
              <w:rPr>
                <w:rFonts w:ascii="Noto Serif" w:hAnsi="Noto Serif"/>
                <w:color w:val="5B6268"/>
                <w:sz w:val="16"/>
              </w:rPr>
              <w:t>Meaning focus: Appeal for the mercy of Śrī Caitanya Mahāprabhu and His associates before chanting.</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Hare Kṛṣṇa mahā-mantra</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hare kṛṣṇa hare kṛṣṇa kṛṣṇa kṛṣṇa hare hare</w:t>
              <w:br/>
              <w:t>hare rāma hare rāma rāma rāma hare hare</w:t>
              <w:br/>
            </w:r>
            <w:r>
              <w:rPr>
                <w:rFonts w:ascii="Noto Serif" w:hAnsi="Noto Serif"/>
                <w:color w:val="5B6268"/>
                <w:sz w:val="16"/>
              </w:rPr>
              <w:t>Meaning focus: The principal congregational mantra in KUTUMBA kīrtana. [R2]</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Nṛsiṁha praṇāma</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namas te narasiṁhāya prahlādāhlāda-dāyine</w:t>
              <w:br/>
              <w:t>hiraṇyakaśipor vakṣaḥ-śilā-ṭaṅka-nakhālaye</w:t>
              <w:br/>
            </w:r>
            <w:r>
              <w:rPr>
                <w:rFonts w:ascii="Noto Serif" w:hAnsi="Noto Serif"/>
                <w:color w:val="5B6268"/>
                <w:sz w:val="16"/>
              </w:rPr>
              <w:t>Meaning focus: Obeisances to Lord Nṛsiṁhadeva, who gives joy to Prahlāda and removes obstacles.</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Nṛsiṁha protection verse</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ito nṛsiṁhaḥ parato nṛsiṁho</w:t>
              <w:br/>
              <w:t>yato yato yāmi tato nṛsiṁhaḥ</w:t>
              <w:br/>
              <w:t>bahir nṛsiṁho hṛdaye nṛsiṁho</w:t>
              <w:br/>
              <w:t>nṛsiṁham ādiṁ śaraṇaṁ prapadye</w:t>
              <w:br/>
            </w:r>
            <w:r>
              <w:rPr>
                <w:rFonts w:ascii="Noto Serif" w:hAnsi="Noto Serif"/>
                <w:color w:val="5B6268"/>
                <w:sz w:val="16"/>
              </w:rPr>
              <w:t>Meaning focus: Taking shelter of Lord Nṛsiṁhadeva within and without.</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Mahā-prasāda prayer</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mahā-prasāde govinde nāma-brahmaṇi vaiṣṇave</w:t>
              <w:br/>
              <w:t>svalpa-puṇyavatāṁ rājan viśvāso naiva jāyate</w:t>
              <w:br/>
            </w:r>
            <w:r>
              <w:rPr>
                <w:rFonts w:ascii="Noto Serif" w:hAnsi="Noto Serif"/>
                <w:color w:val="5B6268"/>
                <w:sz w:val="16"/>
              </w:rPr>
              <w:t>Meaning focus: Faith in mahā-prasāda, Govinda, the holy name and the Vaiṣṇavas.</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2520"/>
            <w:shd w:fill="F3ECF7"/>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Lato" w:hAnsi="Lato"/>
                <w:b/>
                <w:color w:val="4D2A6A"/>
                <w:sz w:val="18"/>
              </w:rPr>
              <w:t>Prasāda song — opening</w:t>
            </w:r>
          </w:p>
        </w:tc>
        <w:tc>
          <w:tcPr>
            <w:tcW w:type="dxa" w:w="7560"/>
            <w:shd w:fill="FFFFFF"/>
            <w:tcMar>
              <w:top w:w="100" w:type="dxa"/>
              <w:start w:w="100" w:type="dxa"/>
              <w:bottom w:w="100" w:type="dxa"/>
              <w:end w:w="100" w:type="dxa"/>
            </w:tcMar>
            <w:tcBorders>
              <w:top w:val="single" w:sz="3" w:color="D9DEE2"/>
              <w:start w:val="single" w:sz="3" w:color="D9DEE2"/>
              <w:bottom w:val="single" w:sz="3" w:color="D9DEE2"/>
              <w:end w:val="single" w:sz="3" w:color="D9DEE2"/>
            </w:tcBorders>
          </w:tcPr>
          <w:p>
            <w:r>
              <w:rPr>
                <w:rFonts w:ascii="Noto Serif" w:hAnsi="Noto Serif"/>
                <w:i/>
                <w:color w:val="202124"/>
                <w:sz w:val="18"/>
              </w:rPr>
              <w:t>śarīra avidyā-jāl, jaḍendriya tāhe kāl</w:t>
              <w:br/>
              <w:t>jīve phele viṣaya-sāgare</w:t>
              <w:br/>
            </w:r>
            <w:r>
              <w:rPr>
                <w:rFonts w:ascii="Noto Serif" w:hAnsi="Noto Serif"/>
                <w:color w:val="5B6268"/>
                <w:sz w:val="16"/>
              </w:rPr>
              <w:t>Meaning focus: The body and uncontrolled senses bind the soul; Kṛṣṇa mercifully gives prasāda.</w:t>
            </w:r>
          </w:p>
        </w:tc>
      </w:tr>
    </w:tbl>
    <w:p>
      <w:pPr>
        <w:spacing w:after="0"/>
      </w:pPr>
    </w:p>
    <w:p>
      <w:pPr>
        <w:pStyle w:val="Heading2"/>
      </w:pPr>
      <w:r>
        <w:t>5.4 Memorisation Without Competition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Participant</w:t>
            </w:r>
          </w:p>
        </w:tc>
        <w:tc>
          <w:tcPr>
            <w:tcW w:type="dxa" w:w="46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Year-One expectation</w:t>
            </w:r>
          </w:p>
        </w:tc>
        <w:tc>
          <w:tcPr>
            <w:tcW w:type="dxa" w:w="36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Method</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Young children</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Join repeated refrains; recognise core prayers; memorise short lines gradually.</w:t>
            </w:r>
          </w:p>
        </w:tc>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Echo, gestures, picture cues and family repetition.</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Older children / teens</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Core mantras and prasāda prayers; selected prayer/song lines; explain one meaning.</w:t>
            </w:r>
          </w:p>
        </w:tc>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Call-and-response, audio practice and service application.</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Adults</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Tier 0 memory; confident response for Tier 1; basic meaning for all Year-One items.</w:t>
            </w:r>
          </w:p>
        </w:tc>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Short daily practice, learner sheets and discussion.</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Leaders</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Exact text, clear pronunciation, meaning, context, controlled tempo and corrections.</w:t>
            </w:r>
          </w:p>
        </w:tc>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Recorded practice, coaching and supervised lead.</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6</w:t>
            </w:r>
          </w:p>
        </w:tc>
        <w:tc>
          <w:tcPr>
            <w:tcW w:type="dxa" w:w="9216"/>
            <w:shd w:fill="351A4A"/>
            <w:tcMar>
              <w:top w:w="140" w:type="dxa"/>
              <w:start w:w="120" w:type="dxa"/>
              <w:bottom w:w="140" w:type="dxa"/>
              <w:end w:w="120" w:type="dxa"/>
            </w:tcMar>
          </w:tcPr>
          <w:p>
            <w:r>
              <w:rPr>
                <w:rFonts w:ascii="Lato" w:hAnsi="Lato"/>
                <w:b/>
                <w:color w:val="FFFFFF"/>
                <w:sz w:val="30"/>
              </w:rPr>
              <w:t>FRIDAY KĪRTANA STANDARD</w:t>
              <w:br/>
            </w:r>
            <w:r>
              <w:rPr>
                <w:rFonts w:ascii="Noto Serif" w:hAnsi="Noto Serif"/>
                <w:i/>
                <w:color w:val="EEE7F3"/>
                <w:sz w:val="17"/>
              </w:rPr>
              <w:t>A repeatable opening that serves the congregation</w:t>
            </w:r>
          </w:p>
        </w:tc>
      </w:tr>
    </w:tbl>
    <w:p>
      <w:pPr>
        <w:spacing w:after="0"/>
      </w:pPr>
    </w:p>
    <w:p>
      <w:pPr>
        <w:pStyle w:val="Heading1"/>
      </w:pPr>
      <w:bookmarkStart w:id="159263" w:name="sec_friday"/>
      <w:r>
        <w:t>6. Friday Kīrtana Operating Standard</w:t>
      </w:r>
      <w:bookmarkEnd w:id="159263"/>
    </w:p>
    <w:p>
      <w:pPr>
        <w:jc w:val="center"/>
      </w:pPr>
      <w:r>
        <w:drawing>
          <wp:inline xmlns:a="http://schemas.openxmlformats.org/drawingml/2006/main" xmlns:pic="http://schemas.openxmlformats.org/drawingml/2006/picture">
            <wp:extent cx="6309360" cy="2323608"/>
            <wp:docPr id="5" name="Picture 5" descr="Thirty-minute Friday launch sequence: settle, pranama and Panca-tattva, maha-mantra, cycle prayer or bhajana, and close." title="Thirty-minute Friday launch sequence: settle, pranama and Panca-tattva, maha-mantra, cycle prayer or bhajana, and close."/>
            <wp:cNvGraphicFramePr>
              <a:graphicFrameLocks noChangeAspect="1"/>
            </wp:cNvGraphicFramePr>
            <a:graphic>
              <a:graphicData uri="http://schemas.openxmlformats.org/drawingml/2006/picture">
                <pic:pic>
                  <pic:nvPicPr>
                    <pic:cNvPr id="0" name="friday.png"/>
                    <pic:cNvPicPr/>
                  </pic:nvPicPr>
                  <pic:blipFill>
                    <a:blip r:embed="rId15"/>
                    <a:stretch>
                      <a:fillRect/>
                    </a:stretch>
                  </pic:blipFill>
                  <pic:spPr>
                    <a:xfrm>
                      <a:off x="0" y="0"/>
                      <a:ext cx="6309360" cy="2323608"/>
                    </a:xfrm>
                    <a:prstGeom prst="rect"/>
                  </pic:spPr>
                </pic:pic>
              </a:graphicData>
            </a:graphic>
          </wp:inline>
        </w:drawing>
      </w:r>
    </w:p>
    <w:p>
      <w:pPr>
        <w:pStyle w:val="Heading2"/>
      </w:pPr>
      <w:r>
        <w:t>6.1 Launch-Phase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Time</w:t>
            </w:r>
          </w:p>
        </w:tc>
        <w:tc>
          <w:tcPr>
            <w:tcW w:type="dxa" w:w="25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Element</w:t>
            </w:r>
          </w:p>
        </w:tc>
        <w:tc>
          <w:tcPr>
            <w:tcW w:type="dxa" w:w="604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Operating standard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6:30–6:33</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Settle</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Phones silent; instruments ready; one short etiquette reminder; no social talk in the worship area.</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6:33–6:37</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Praṇāma and Pañca-tattva</w:t>
            </w:r>
          </w:p>
        </w:tc>
        <w:tc>
          <w:tcPr>
            <w:tcW w:type="dxa" w:w="60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Approved text, moderate pace, no improvised additions.</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6:37–6:52</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Mahā-mantra kīrtana</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Primary mantra; repeatable phrases; congregation clearly audible.</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6:52–6:58</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Cycle prayer or bhajana</w:t>
            </w:r>
          </w:p>
        </w:tc>
        <w:tc>
          <w:tcPr>
            <w:tcW w:type="dxa" w:w="60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current learning item with brief context, not a medley.</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6:58–7:00</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Close and transition</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Deliberate ending; no abrupt microphone drop; instruments secured.</w:t>
            </w:r>
          </w:p>
        </w:tc>
      </w:tr>
    </w:tbl>
    <w:p>
      <w:pPr>
        <w:spacing w:after="0"/>
      </w:pPr>
    </w:p>
    <w:p>
      <w:pPr>
        <w:pStyle w:val="Heading2"/>
      </w:pPr>
      <w:r>
        <w:t>6.2 Congregation-First Rules</w:t>
      </w:r>
    </w:p>
    <w:p>
      <w:pPr>
        <w:pStyle w:val="ListBullet"/>
        <w:spacing w:after="30"/>
      </w:pPr>
      <w:r>
        <w:rPr>
          <w:rFonts w:ascii="Noto Serif" w:hAnsi="Noto Serif"/>
          <w:color w:val="202124"/>
          <w:sz w:val="20"/>
        </w:rPr>
        <w:t>The leader sings one complete, repeatable phrase and allows the full response before continuing.</w:t>
      </w:r>
    </w:p>
    <w:p>
      <w:pPr>
        <w:pStyle w:val="ListBullet"/>
        <w:spacing w:after="30"/>
      </w:pPr>
      <w:r>
        <w:rPr>
          <w:rFonts w:ascii="Noto Serif" w:hAnsi="Noto Serif"/>
          <w:color w:val="202124"/>
          <w:sz w:val="20"/>
        </w:rPr>
        <w:t>The melody remains in a range that ordinary adults and children can sing.</w:t>
      </w:r>
    </w:p>
    <w:p>
      <w:pPr>
        <w:pStyle w:val="ListBullet"/>
        <w:spacing w:after="30"/>
      </w:pPr>
      <w:r>
        <w:rPr>
          <w:rFonts w:ascii="Noto Serif" w:hAnsi="Noto Serif"/>
          <w:color w:val="202124"/>
          <w:sz w:val="20"/>
        </w:rPr>
        <w:t>Tempo changes are gradual; speed is not used to manufacture excitement.</w:t>
      </w:r>
    </w:p>
    <w:p>
      <w:pPr>
        <w:pStyle w:val="ListBullet"/>
        <w:spacing w:after="30"/>
      </w:pPr>
      <w:r>
        <w:rPr>
          <w:rFonts w:ascii="Noto Serif" w:hAnsi="Noto Serif"/>
          <w:color w:val="202124"/>
          <w:sz w:val="20"/>
        </w:rPr>
        <w:t>The lead microphone remains clear but not dominant; the response must be heard.</w:t>
      </w:r>
    </w:p>
    <w:p>
      <w:pPr>
        <w:pStyle w:val="ListBullet"/>
        <w:spacing w:after="30"/>
      </w:pPr>
      <w:r>
        <w:rPr>
          <w:rFonts w:ascii="Noto Serif" w:hAnsi="Noto Serif"/>
          <w:color w:val="202124"/>
          <w:sz w:val="20"/>
        </w:rPr>
        <w:t>No vocal contest, prolonged ornamentation, solo performance or instrumental break without chanting.</w:t>
      </w:r>
    </w:p>
    <w:p>
      <w:pPr>
        <w:pStyle w:val="ListBullet"/>
        <w:spacing w:after="30"/>
      </w:pPr>
      <w:r>
        <w:rPr>
          <w:rFonts w:ascii="Noto Serif" w:hAnsi="Noto Serif"/>
          <w:color w:val="202124"/>
          <w:sz w:val="20"/>
        </w:rPr>
        <w:t>No division of response by gender, age or other bodily category. [R2]</w:t>
      </w:r>
    </w:p>
    <w:p>
      <w:pPr>
        <w:pStyle w:val="ListBullet"/>
        <w:spacing w:after="30"/>
      </w:pPr>
      <w:r>
        <w:rPr>
          <w:rFonts w:ascii="Noto Serif" w:hAnsi="Noto Serif"/>
          <w:color w:val="202124"/>
          <w:sz w:val="20"/>
        </w:rPr>
        <w:t>Children may lead a prepared short portion beside an approved adult; they are not placed on display unexpectedly.</w:t>
      </w:r>
    </w:p>
    <w:p>
      <w:pPr>
        <w:pStyle w:val="ListBullet"/>
        <w:spacing w:after="30"/>
      </w:pPr>
      <w:r>
        <w:rPr>
          <w:rFonts w:ascii="Noto Serif" w:hAnsi="Noto Serif"/>
          <w:color w:val="202124"/>
          <w:sz w:val="20"/>
        </w:rPr>
        <w:t>The kīrtana leader watches the congregation, safety conditions and program clock—not only the musicians.</w:t>
      </w:r>
    </w:p>
    <w:p>
      <w:pPr>
        <w:pStyle w:val="Heading2"/>
      </w:pPr>
      <w:r>
        <w:t>6.3 Song Selection Decision Tree</w:t>
      </w:r>
    </w:p>
    <w:p>
      <w:pPr>
        <w:pStyle w:val="ListNumber"/>
        <w:spacing w:after="40"/>
      </w:pPr>
      <w:r>
        <w:rPr>
          <w:rFonts w:ascii="Noto Serif" w:hAnsi="Noto Serif"/>
          <w:sz w:val="20"/>
        </w:rPr>
        <w:t>Is the text present in the approved canon register? If no, do not use it.</w:t>
      </w:r>
    </w:p>
    <w:p>
      <w:pPr>
        <w:pStyle w:val="ListNumber"/>
        <w:spacing w:after="40"/>
      </w:pPr>
      <w:r>
        <w:rPr>
          <w:rFonts w:ascii="Noto Serif" w:hAnsi="Noto Serif"/>
          <w:sz w:val="20"/>
        </w:rPr>
        <w:t>Is it appropriate to the occasion and current curriculum? If no, choose the assigned item.</w:t>
      </w:r>
    </w:p>
    <w:p>
      <w:pPr>
        <w:pStyle w:val="ListNumber"/>
        <w:spacing w:after="40"/>
      </w:pPr>
      <w:r>
        <w:rPr>
          <w:rFonts w:ascii="Noto Serif" w:hAnsi="Noto Serif"/>
          <w:sz w:val="20"/>
        </w:rPr>
        <w:t>Does the leader know the exact text, meaning and approved melody? If no, lead the mahā-mantra instead.</w:t>
      </w:r>
    </w:p>
    <w:p>
      <w:pPr>
        <w:pStyle w:val="ListNumber"/>
        <w:spacing w:after="40"/>
      </w:pPr>
      <w:r>
        <w:rPr>
          <w:rFonts w:ascii="Noto Serif" w:hAnsi="Noto Serif"/>
          <w:sz w:val="20"/>
        </w:rPr>
        <w:t>Does the instrument set match the context, especially if ārati is occurring? If no, remove the instrument.</w:t>
      </w:r>
    </w:p>
    <w:p>
      <w:pPr>
        <w:pStyle w:val="ListNumber"/>
        <w:spacing w:after="40"/>
      </w:pPr>
      <w:r>
        <w:rPr>
          <w:rFonts w:ascii="Noto Serif" w:hAnsi="Noto Serif"/>
          <w:sz w:val="20"/>
        </w:rPr>
        <w:t>Can the congregation respond comfortably? If no, simplify pitch, phrase length or tempo.</w:t>
      </w:r>
    </w:p>
    <w:p>
      <w:pPr>
        <w:pStyle w:val="ListNumber"/>
        <w:spacing w:after="40"/>
      </w:pPr>
      <w:r>
        <w:rPr>
          <w:rFonts w:ascii="Noto Serif" w:hAnsi="Noto Serif"/>
          <w:sz w:val="20"/>
        </w:rPr>
        <w:t>Is sound safe and clear? If no, reduce amplification immediately.</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7</w:t>
            </w:r>
          </w:p>
        </w:tc>
        <w:tc>
          <w:tcPr>
            <w:tcW w:type="dxa" w:w="9216"/>
            <w:shd w:fill="351A4A"/>
            <w:tcMar>
              <w:top w:w="140" w:type="dxa"/>
              <w:start w:w="120" w:type="dxa"/>
              <w:bottom w:w="140" w:type="dxa"/>
              <w:end w:w="120" w:type="dxa"/>
            </w:tcMar>
          </w:tcPr>
          <w:p>
            <w:r>
              <w:rPr>
                <w:rFonts w:ascii="Lato" w:hAnsi="Lato"/>
                <w:b/>
                <w:color w:val="FFFFFF"/>
                <w:sz w:val="30"/>
              </w:rPr>
              <w:t>KĪRTANA LEADERSHIP</w:t>
              <w:br/>
            </w:r>
            <w:r>
              <w:rPr>
                <w:rFonts w:ascii="Noto Serif" w:hAnsi="Noto Serif"/>
                <w:i/>
                <w:color w:val="EEE7F3"/>
                <w:sz w:val="17"/>
              </w:rPr>
              <w:t>Participation, assistance, supervised leadership and renewal</w:t>
            </w:r>
          </w:p>
        </w:tc>
      </w:tr>
    </w:tbl>
    <w:p>
      <w:pPr>
        <w:spacing w:after="0"/>
      </w:pPr>
    </w:p>
    <w:p>
      <w:pPr>
        <w:pStyle w:val="Heading1"/>
      </w:pPr>
      <w:bookmarkStart w:id="196300" w:name="sec_leader"/>
      <w:r>
        <w:t>7. Kīrtana-Leader and Response-Singing Training</w:t>
      </w:r>
      <w:bookmarkEnd w:id="196300"/>
    </w:p>
    <w:p>
      <w:pPr>
        <w:pStyle w:val="Heading2"/>
      </w:pPr>
      <w:r>
        <w:t>7.1 Four-Level Pathway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Level</w:t>
            </w:r>
          </w:p>
        </w:tc>
        <w:tc>
          <w:tcPr>
            <w:tcW w:type="dxa" w:w="381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Minimum capability</w:t>
            </w:r>
          </w:p>
        </w:tc>
        <w:tc>
          <w:tcPr>
            <w:tcW w:type="dxa" w:w="27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Evidence</w:t>
            </w:r>
          </w:p>
        </w:tc>
        <w:tc>
          <w:tcPr>
            <w:tcW w:type="dxa" w:w="201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Privilege</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L1 Participant</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Follows response; knows Tier 0 texts; observes etiquette.</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Four satisfactory sessions.</w:t>
            </w:r>
          </w:p>
        </w:tc>
        <w:tc>
          <w:tcPr>
            <w:tcW w:type="dxa" w:w="201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Congregational participation.</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L2 Assistant</w:t>
            </w:r>
          </w:p>
        </w:tc>
        <w:tc>
          <w:tcPr>
            <w:tcW w:type="dxa" w:w="38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Starts response; supports newcomers; manages sheets/instruments; basic kartāla.</w:t>
            </w:r>
          </w:p>
        </w:tc>
        <w:tc>
          <w:tcPr>
            <w:tcW w:type="dxa" w:w="27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Four assisted sessions and trainer feedback.</w:t>
            </w:r>
          </w:p>
        </w:tc>
        <w:tc>
          <w:tcPr>
            <w:tcW w:type="dxa" w:w="201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Response support and setup.</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L3 Supervised leader</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Leads Pañca-tattva, 8–12 minutes of mahā-mantra and one approved close.</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Two satisfactory observed leads.</w:t>
            </w:r>
          </w:p>
        </w:tc>
        <w:tc>
          <w:tcPr>
            <w:tcW w:type="dxa" w:w="201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Lead only with trainer present.</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L4 Approved leader</w:t>
            </w:r>
          </w:p>
        </w:tc>
        <w:tc>
          <w:tcPr>
            <w:tcW w:type="dxa" w:w="38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Consistent accuracy, congregation awareness, time control, humility and safety.</w:t>
            </w:r>
          </w:p>
        </w:tc>
        <w:tc>
          <w:tcPr>
            <w:tcW w:type="dxa" w:w="27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Written approval and review date.</w:t>
            </w:r>
          </w:p>
        </w:tc>
        <w:tc>
          <w:tcPr>
            <w:tcW w:type="dxa" w:w="201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Lead assigned KUTUMBA openings.</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L5 Trainer</w:t>
            </w:r>
          </w:p>
        </w:tc>
        <w:tc>
          <w:tcPr>
            <w:tcW w:type="dxa" w:w="38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Can diagnose pronunciation, tempo, sound, instrument and interpersonal issues.</w:t>
            </w:r>
          </w:p>
        </w:tc>
        <w:tc>
          <w:tcPr>
            <w:tcW w:type="dxa" w:w="27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Authority/lead appointment plus demonstrated coaching.</w:t>
            </w:r>
          </w:p>
        </w:tc>
        <w:tc>
          <w:tcPr>
            <w:tcW w:type="dxa" w:w="201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 and recommend leaders; not self-authorise restricted worship.</w:t>
            </w:r>
          </w:p>
        </w:tc>
      </w:tr>
    </w:tbl>
    <w:p>
      <w:pPr>
        <w:spacing w:after="0"/>
      </w:pPr>
    </w:p>
    <w:p>
      <w:pPr>
        <w:pStyle w:val="Heading2"/>
      </w:pPr>
      <w:r>
        <w:t>7.2 Observation Rubric</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Criterion</w:t>
            </w:r>
          </w:p>
        </w:tc>
        <w:tc>
          <w:tcPr>
            <w:tcW w:type="dxa" w:w="489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Meets standard when…</w:t>
            </w:r>
          </w:p>
        </w:tc>
        <w:tc>
          <w:tcPr>
            <w:tcW w:type="dxa" w:w="37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Red flag</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Text</w:t>
            </w:r>
          </w:p>
        </w:tc>
        <w:tc>
          <w:tcPr>
            <w:tcW w:type="dxa" w:w="48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Words are exact and intelligible.</w:t>
            </w:r>
          </w:p>
        </w:tc>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Improvised or repeatedly incorrect mantra.</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Pitch</w:t>
            </w:r>
          </w:p>
        </w:tc>
        <w:tc>
          <w:tcPr>
            <w:tcW w:type="dxa" w:w="48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Range is singable for the room.</w:t>
            </w:r>
          </w:p>
        </w:tc>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Leader sings for personal vocal display.</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Phrase</w:t>
            </w:r>
          </w:p>
        </w:tc>
        <w:tc>
          <w:tcPr>
            <w:tcW w:type="dxa" w:w="48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Response can copy it in one hearing.</w:t>
            </w:r>
          </w:p>
        </w:tc>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Long, changing phrases that exclude newcomers.</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Tempo</w:t>
            </w:r>
          </w:p>
        </w:tc>
        <w:tc>
          <w:tcPr>
            <w:tcW w:type="dxa" w:w="48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Steady and proportionate to the setting.</w:t>
            </w:r>
          </w:p>
        </w:tc>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Abrupt acceleration, dragging or competition.</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Volume</w:t>
            </w:r>
          </w:p>
        </w:tc>
        <w:tc>
          <w:tcPr>
            <w:tcW w:type="dxa" w:w="48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Clear, sweet and not painful.</w:t>
            </w:r>
          </w:p>
        </w:tc>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Distortion, shouting or instruments cover mantra.</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Awareness</w:t>
            </w:r>
          </w:p>
        </w:tc>
        <w:tc>
          <w:tcPr>
            <w:tcW w:type="dxa" w:w="48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Leader sees children, newcomers and transitions.</w:t>
            </w:r>
          </w:p>
        </w:tc>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Eyes closed throughout while conditions deteriorate.</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Conduct</w:t>
            </w:r>
          </w:p>
        </w:tc>
        <w:tc>
          <w:tcPr>
            <w:tcW w:type="dxa" w:w="48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Accepts correction and shares service.</w:t>
            </w:r>
          </w:p>
        </w:tc>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Defensiveness, status-seeking or repeated policy violations.</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Ending</w:t>
            </w:r>
          </w:p>
        </w:tc>
        <w:tc>
          <w:tcPr>
            <w:tcW w:type="dxa" w:w="48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Closes together and hands over calmly.</w:t>
            </w:r>
          </w:p>
        </w:tc>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Sudden stop, confusion or overrun.</w:t>
            </w:r>
          </w:p>
        </w:tc>
      </w:tr>
    </w:tbl>
    <w:p>
      <w:pPr>
        <w:spacing w:after="0"/>
      </w:pPr>
    </w:p>
    <w:p>
      <w:pPr>
        <w:pStyle w:val="Heading2"/>
      </w:pPr>
      <w:r>
        <w:t>7.3 Response-Singing Clinic</w:t>
      </w:r>
    </w:p>
    <w:p>
      <w:pPr>
        <w:pStyle w:val="ListBullet"/>
        <w:spacing w:after="30"/>
      </w:pPr>
      <w:r>
        <w:rPr>
          <w:rFonts w:ascii="Noto Serif" w:hAnsi="Noto Serif"/>
          <w:color w:val="202124"/>
          <w:sz w:val="20"/>
        </w:rPr>
        <w:t>Listen to the full phrase before responding.</w:t>
      </w:r>
    </w:p>
    <w:p>
      <w:pPr>
        <w:pStyle w:val="ListBullet"/>
        <w:spacing w:after="30"/>
      </w:pPr>
      <w:r>
        <w:rPr>
          <w:rFonts w:ascii="Noto Serif" w:hAnsi="Noto Serif"/>
          <w:color w:val="202124"/>
          <w:sz w:val="20"/>
        </w:rPr>
        <w:t>Begin together; do not anticipate the leader.</w:t>
      </w:r>
    </w:p>
    <w:p>
      <w:pPr>
        <w:pStyle w:val="ListBullet"/>
        <w:spacing w:after="30"/>
      </w:pPr>
      <w:r>
        <w:rPr>
          <w:rFonts w:ascii="Noto Serif" w:hAnsi="Noto Serif"/>
          <w:color w:val="202124"/>
          <w:sz w:val="20"/>
        </w:rPr>
        <w:t>Copy words first, melody second and ornamentation last.</w:t>
      </w:r>
    </w:p>
    <w:p>
      <w:pPr>
        <w:pStyle w:val="ListBullet"/>
        <w:spacing w:after="30"/>
      </w:pPr>
      <w:r>
        <w:rPr>
          <w:rFonts w:ascii="Noto Serif" w:hAnsi="Noto Serif"/>
          <w:color w:val="202124"/>
          <w:sz w:val="20"/>
        </w:rPr>
        <w:t>Stay with the leader’s basic melody; do not create competing harmonies.</w:t>
      </w:r>
    </w:p>
    <w:p>
      <w:pPr>
        <w:pStyle w:val="ListBullet"/>
        <w:spacing w:after="30"/>
      </w:pPr>
      <w:r>
        <w:rPr>
          <w:rFonts w:ascii="Noto Serif" w:hAnsi="Noto Serif"/>
          <w:color w:val="202124"/>
          <w:sz w:val="20"/>
        </w:rPr>
        <w:t>Use a devotional, sustainable voice rather than a forced shout.</w:t>
      </w:r>
    </w:p>
    <w:p>
      <w:pPr>
        <w:pStyle w:val="ListBullet"/>
        <w:spacing w:after="30"/>
      </w:pPr>
      <w:r>
        <w:rPr>
          <w:rFonts w:ascii="Noto Serif" w:hAnsi="Noto Serif"/>
          <w:color w:val="202124"/>
          <w:sz w:val="20"/>
        </w:rPr>
        <w:t>Make space for newcomers to listen without embarrassment.</w:t>
      </w:r>
    </w:p>
    <w:p>
      <w:pPr>
        <w:pStyle w:val="ListBullet"/>
        <w:spacing w:after="30"/>
      </w:pPr>
      <w:r>
        <w:rPr>
          <w:rFonts w:ascii="Noto Serif" w:hAnsi="Noto Serif"/>
          <w:color w:val="202124"/>
          <w:sz w:val="20"/>
        </w:rPr>
        <w:t>Reduce volume and complexity when young children or sensory-sensitive participants are present.</w:t>
      </w:r>
    </w:p>
    <w:p>
      <w:pPr>
        <w:pStyle w:val="Heading2"/>
      </w:pPr>
      <w:r>
        <w:t>7.4 Remediation and Withdrawal</w:t>
      </w:r>
    </w:p>
    <w:p>
      <w:pPr>
        <w:pStyle w:val="BodyText"/>
        <w:spacing w:after="80"/>
      </w:pPr>
      <w:r>
        <w:rPr>
          <w:rFonts w:ascii="Noto Serif" w:hAnsi="Noto Serif"/>
          <w:i w:val="0"/>
          <w:color w:val="202124"/>
          <w:sz w:val="20"/>
        </w:rPr>
        <w:t>Approval is service-specific and revocable. A leader moves back to supervised practice after repeated text errors, unapproved songs, unsafe volume, refusal of correction, disregard for the congregation, poor reliability or behaviour inconsistent with the family covenant. Withdrawal is handled privately and framed as protection of service—not punishment.</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8</w:t>
            </w:r>
          </w:p>
        </w:tc>
        <w:tc>
          <w:tcPr>
            <w:tcW w:type="dxa" w:w="9216"/>
            <w:shd w:fill="351A4A"/>
            <w:tcMar>
              <w:top w:w="140" w:type="dxa"/>
              <w:start w:w="120" w:type="dxa"/>
              <w:bottom w:w="140" w:type="dxa"/>
              <w:end w:w="120" w:type="dxa"/>
            </w:tcMar>
          </w:tcPr>
          <w:p>
            <w:r>
              <w:rPr>
                <w:rFonts w:ascii="Lato" w:hAnsi="Lato"/>
                <w:b/>
                <w:color w:val="FFFFFF"/>
                <w:sz w:val="30"/>
              </w:rPr>
              <w:t>INSTRUMENT TRAINING</w:t>
              <w:br/>
            </w:r>
            <w:r>
              <w:rPr>
                <w:rFonts w:ascii="Noto Serif" w:hAnsi="Noto Serif"/>
                <w:i/>
                <w:color w:val="EEE7F3"/>
                <w:sz w:val="17"/>
              </w:rPr>
              <w:t>Kartāla and mṛdaṅga as disciplined support for the holy name</w:t>
            </w:r>
          </w:p>
        </w:tc>
      </w:tr>
    </w:tbl>
    <w:p>
      <w:pPr>
        <w:spacing w:after="0"/>
      </w:pPr>
    </w:p>
    <w:p>
      <w:pPr>
        <w:pStyle w:val="Heading1"/>
      </w:pPr>
      <w:bookmarkStart w:id="916675" w:name="sec_instruments"/>
      <w:r>
        <w:t>8. Kartāla and Mṛdaṅga Training</w:t>
      </w:r>
      <w:bookmarkEnd w:id="916675"/>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2F6F55"/>
            <w:tcMar>
              <w:top w:w="120" w:type="dxa"/>
              <w:start w:w="120" w:type="dxa"/>
              <w:bottom w:w="120" w:type="dxa"/>
              <w:end w:w="120" w:type="dxa"/>
            </w:tcMar>
            <w:tcBorders>
              <w:top w:val="single" w:sz="6" w:color="2F6F55"/>
              <w:start w:val="single" w:sz="6" w:color="2F6F55"/>
              <w:bottom w:val="single" w:sz="6" w:color="2F6F55"/>
              <w:end w:val="single" w:sz="6" w:color="2F6F55"/>
            </w:tcBorders>
          </w:tcPr>
          <w:p>
            <w:pPr>
              <w:jc w:val="center"/>
            </w:pPr>
            <w:r>
              <w:rPr>
                <w:rFonts w:ascii="Lato" w:hAnsi="Lato"/>
                <w:b/>
                <w:color w:val="FFFFFF"/>
                <w:sz w:val="16"/>
              </w:rPr>
              <w:t>APPROVED PRACTICE</w:t>
            </w:r>
          </w:p>
        </w:tc>
        <w:tc>
          <w:tcPr>
            <w:tcW w:type="dxa" w:w="8496"/>
            <w:shd w:fill="EAF4EE"/>
            <w:tcMar>
              <w:top w:w="120" w:type="dxa"/>
              <w:start w:w="120" w:type="dxa"/>
              <w:bottom w:w="120" w:type="dxa"/>
              <w:end w:w="120" w:type="dxa"/>
            </w:tcMar>
            <w:tcBorders>
              <w:top w:val="single" w:sz="6" w:color="2F6F55"/>
              <w:start w:val="single" w:sz="6" w:color="2F6F55"/>
              <w:bottom w:val="single" w:sz="6" w:color="2F6F55"/>
              <w:end w:val="single" w:sz="6" w:color="2F6F55"/>
            </w:tcBorders>
          </w:tcPr>
          <w:p>
            <w:r>
              <w:rPr>
                <w:rFonts w:ascii="Lato" w:hAnsi="Lato"/>
                <w:b/>
                <w:color w:val="2F6F55"/>
                <w:sz w:val="20"/>
              </w:rPr>
              <w:t>Instrument standard</w:t>
              <w:br/>
            </w:r>
            <w:r>
              <w:rPr>
                <w:rFonts w:ascii="Noto Serif" w:hAnsi="Noto Serif"/>
                <w:color w:val="202124"/>
                <w:sz w:val="19"/>
              </w:rPr>
              <w:t>GBC-approved kīrtana guidance distinguishes daily ārati kīrtana from general bhajana or public presentation. Kartālas and mṛdaṅga are the principal instruments for daily ārati contexts; harmonium and other melodic instruments require context and local-authority judgment. [R3]</w:t>
            </w:r>
          </w:p>
        </w:tc>
      </w:tr>
    </w:tbl>
    <w:p>
      <w:pPr>
        <w:spacing w:after="0"/>
      </w:pPr>
    </w:p>
    <w:p>
      <w:pPr>
        <w:pStyle w:val="Heading2"/>
      </w:pPr>
      <w:r>
        <w:t>8.1 Kartāla Pathway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Stage</w:t>
            </w:r>
          </w:p>
        </w:tc>
        <w:tc>
          <w:tcPr>
            <w:tcW w:type="dxa" w:w="51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Content</w:t>
            </w:r>
          </w:p>
        </w:tc>
        <w:tc>
          <w:tcPr>
            <w:tcW w:type="dxa" w:w="345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Pass condition</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K0 Safety</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Respectful handling, controlled contact, storage, child spacing.</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uncontrolled banging or unsafe swinging.</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K1 Sound</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Open and closed sound; even pulse.</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Can play softly for 60 seconds.</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K2 Pattern</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approved basic pattern at slow tempo.</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Maintains pattern through one mantra cycle.</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K3 Follow</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Starts, changes and stops with leader.</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Does not race or overpower.</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K4 Service</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Supports a Friday kīrtana.</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Two satisfactory supervised sessions.</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K5 Coach</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Teaches safely and corrects basic technique.</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Appointed by instrument trainer.</w:t>
            </w:r>
          </w:p>
        </w:tc>
      </w:tr>
    </w:tbl>
    <w:p>
      <w:pPr>
        <w:spacing w:after="0"/>
      </w:pPr>
    </w:p>
    <w:p>
      <w:pPr>
        <w:pStyle w:val="Heading2"/>
      </w:pPr>
      <w:r>
        <w:t>8.2 Mṛdaṅga Pathway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Stage</w:t>
            </w:r>
          </w:p>
        </w:tc>
        <w:tc>
          <w:tcPr>
            <w:tcW w:type="dxa" w:w="51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Content</w:t>
            </w:r>
          </w:p>
        </w:tc>
        <w:tc>
          <w:tcPr>
            <w:tcW w:type="dxa" w:w="345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Boundary</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M0 Orientation</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Names of drum heads, respectful handling, seated posture and storage.</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unsupervised use of the primary program instrument.</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M1 Strokes</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Small authorised set of foundational strokes.</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Accuracy before speed.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M2 Tāla</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simple pattern with steady pulse.</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Practice environment only.</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M3 Follow</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Supports leader’s tempo and dynamics.</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Player follows; does not dominate.</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M4 Service</w:t>
            </w:r>
          </w:p>
        </w:tc>
        <w:tc>
          <w:tcPr>
            <w:tcW w:type="dxa" w:w="51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Supervised Friday playing.</w:t>
            </w:r>
          </w:p>
        </w:tc>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Two satisfactory sessions before approval.</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M5 Trainer</w:t>
            </w:r>
          </w:p>
        </w:tc>
        <w:tc>
          <w:tcPr>
            <w:tcW w:type="dxa" w:w="51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Technique, tuning/care and pedagogy.</w:t>
            </w:r>
          </w:p>
        </w:tc>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Requires a competent mṛdaṅga instructor.</w:t>
            </w:r>
          </w:p>
        </w:tc>
      </w:tr>
    </w:tbl>
    <w:p>
      <w:pPr>
        <w:spacing w:after="0"/>
      </w:pPr>
    </w:p>
    <w:p>
      <w:pPr>
        <w:pStyle w:val="Heading2"/>
      </w:pPr>
      <w:r>
        <w:t>8.3 Instrument-Care Standard</w:t>
      </w:r>
    </w:p>
    <w:p>
      <w:pPr>
        <w:pStyle w:val="ListBullet"/>
        <w:spacing w:after="30"/>
      </w:pPr>
      <w:r>
        <w:rPr>
          <w:rFonts w:ascii="Noto Serif" w:hAnsi="Noto Serif"/>
          <w:color w:val="202124"/>
          <w:sz w:val="20"/>
        </w:rPr>
        <w:t>Number and label instruments; record condition before and after each cycle.</w:t>
      </w:r>
    </w:p>
    <w:p>
      <w:pPr>
        <w:pStyle w:val="ListBullet"/>
        <w:spacing w:after="30"/>
      </w:pPr>
      <w:r>
        <w:rPr>
          <w:rFonts w:ascii="Noto Serif" w:hAnsi="Noto Serif"/>
          <w:color w:val="202124"/>
          <w:sz w:val="20"/>
        </w:rPr>
        <w:t>Store dry, stable and away from food, heaters, direct sun and child play areas.</w:t>
      </w:r>
    </w:p>
    <w:p>
      <w:pPr>
        <w:pStyle w:val="ListBullet"/>
        <w:spacing w:after="30"/>
      </w:pPr>
      <w:r>
        <w:rPr>
          <w:rFonts w:ascii="Noto Serif" w:hAnsi="Noto Serif"/>
          <w:color w:val="202124"/>
          <w:sz w:val="20"/>
        </w:rPr>
        <w:t>Use clean hands; wipe external contact surfaces with a material-safe method approved by the instrument owner.</w:t>
      </w:r>
    </w:p>
    <w:p>
      <w:pPr>
        <w:pStyle w:val="ListBullet"/>
        <w:spacing w:after="30"/>
      </w:pPr>
      <w:r>
        <w:rPr>
          <w:rFonts w:ascii="Noto Serif" w:hAnsi="Noto Serif"/>
          <w:color w:val="202124"/>
          <w:sz w:val="20"/>
        </w:rPr>
        <w:t>Do not stack weight on mṛdaṅgas or leave kartālas loose where they become trip hazards.</w:t>
      </w:r>
    </w:p>
    <w:p>
      <w:pPr>
        <w:pStyle w:val="ListBullet"/>
        <w:spacing w:after="30"/>
      </w:pPr>
      <w:r>
        <w:rPr>
          <w:rFonts w:ascii="Noto Serif" w:hAnsi="Noto Serif"/>
          <w:color w:val="202124"/>
          <w:sz w:val="20"/>
        </w:rPr>
        <w:t>Report cracks, loose straps, sharp edges or tuning problems; do not improvise repairs during the program.</w:t>
      </w:r>
    </w:p>
    <w:p>
      <w:pPr>
        <w:pStyle w:val="ListBullet"/>
        <w:spacing w:after="30"/>
      </w:pPr>
      <w:r>
        <w:rPr>
          <w:rFonts w:ascii="Noto Serif" w:hAnsi="Noto Serif"/>
          <w:color w:val="202124"/>
          <w:sz w:val="20"/>
        </w:rPr>
        <w:t>Only the trainer tunes or performs material repairs unless a separate qualified person is named.</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9</w:t>
            </w:r>
          </w:p>
        </w:tc>
        <w:tc>
          <w:tcPr>
            <w:tcW w:type="dxa" w:w="9216"/>
            <w:shd w:fill="351A4A"/>
            <w:tcMar>
              <w:top w:w="140" w:type="dxa"/>
              <w:start w:w="120" w:type="dxa"/>
              <w:bottom w:w="140" w:type="dxa"/>
              <w:end w:w="120" w:type="dxa"/>
            </w:tcMar>
          </w:tcPr>
          <w:p>
            <w:r>
              <w:rPr>
                <w:rFonts w:ascii="Lato" w:hAnsi="Lato"/>
                <w:b/>
                <w:color w:val="FFFFFF"/>
                <w:sz w:val="30"/>
              </w:rPr>
              <w:t>JAPA FORMATION</w:t>
              <w:br/>
            </w:r>
            <w:r>
              <w:rPr>
                <w:rFonts w:ascii="Noto Serif" w:hAnsi="Noto Serif"/>
                <w:i/>
                <w:color w:val="EEE7F3"/>
                <w:sz w:val="17"/>
              </w:rPr>
              <w:t>Attentive hearing, realistic commitments and family modelling</w:t>
            </w:r>
          </w:p>
        </w:tc>
      </w:tr>
    </w:tbl>
    <w:p>
      <w:pPr>
        <w:spacing w:after="0"/>
      </w:pPr>
    </w:p>
    <w:p>
      <w:pPr>
        <w:pStyle w:val="Heading1"/>
      </w:pPr>
      <w:bookmarkStart w:id="802716" w:name="sec_japa"/>
      <w:r>
        <w:t>9. Japa Formation</w:t>
      </w:r>
      <w:bookmarkEnd w:id="802716"/>
    </w:p>
    <w:p>
      <w:pPr>
        <w:pStyle w:val="BodyText"/>
        <w:spacing w:after="80"/>
      </w:pPr>
      <w:r>
        <w:rPr>
          <w:rFonts w:ascii="Noto Serif" w:hAnsi="Noto Serif"/>
          <w:i w:val="0"/>
          <w:color w:val="202124"/>
          <w:sz w:val="20"/>
        </w:rPr>
        <w:t>KUTUMBA teaches japa as attentive personal chanting, not as a public score. Śrī Caitanya’s Śikṣāṣṭakam connects chanting with humility and respect, and Śrīla Prabhupāda repeatedly emphasises chanting on beads under guidance. [R8][R9]</w:t>
      </w:r>
    </w:p>
    <w:p>
      <w:pPr>
        <w:pStyle w:val="Heading2"/>
      </w:pPr>
      <w:r>
        <w:t>9.1 Four Modules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Module</w:t>
            </w:r>
          </w:p>
        </w:tc>
        <w:tc>
          <w:tcPr>
            <w:tcW w:type="dxa" w:w="46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Learning outcomes</w:t>
            </w:r>
          </w:p>
        </w:tc>
        <w:tc>
          <w:tcPr>
            <w:tcW w:type="dxa" w:w="352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Laboratory</w:t>
            </w:r>
          </w:p>
        </w:tc>
      </w:tr>
      <w:tr>
        <w:trPr>
          <w:cantSplit/>
          <w:cantSplit/>
        </w:trPr>
        <w:tc>
          <w:tcPr>
            <w:tcW w:type="dxa" w:w="187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J1 — What japa is</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Purpose of the mahā-mantra; hearing one’s own chanting; respectful bead care.</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Five-minute guided chant and reflection.</w:t>
            </w:r>
          </w:p>
        </w:tc>
      </w:tr>
      <w:tr>
        <w:trPr>
          <w:cantSplit/>
          <w:cantSplit/>
        </w:trPr>
        <w:tc>
          <w:tcPr>
            <w:tcW w:type="dxa" w:w="187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J2 — Mechanics</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Posture, bag/bead handling, pronunciation, sustainable pace and session start/end.</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Trainer demonstration; individual practice.</w:t>
            </w:r>
          </w:p>
        </w:tc>
      </w:tr>
      <w:tr>
        <w:trPr>
          <w:cantSplit/>
          <w:cantSplit/>
        </w:trPr>
        <w:tc>
          <w:tcPr>
            <w:tcW w:type="dxa" w:w="187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J3 — Attention</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Notice distraction, return to sound, manage phone/environment, avoid mechanical speed.</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Two short rounds with a reset between them.</w:t>
            </w:r>
          </w:p>
        </w:tc>
      </w:tr>
      <w:tr>
        <w:trPr>
          <w:cantSplit/>
          <w:cantSplit/>
        </w:trPr>
        <w:tc>
          <w:tcPr>
            <w:tcW w:type="dxa" w:w="187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J4 — Family practice</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Adults model without policing; children receive age-appropriate invitations; commitments remain realistic.</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routine design and private review.</w:t>
            </w:r>
          </w:p>
        </w:tc>
      </w:tr>
    </w:tbl>
    <w:p>
      <w:pPr>
        <w:spacing w:after="0"/>
      </w:pPr>
    </w:p>
    <w:p>
      <w:pPr>
        <w:pStyle w:val="Heading2"/>
      </w:pPr>
      <w:r>
        <w:t>9.2 Commitment Rules</w:t>
      </w:r>
    </w:p>
    <w:p>
      <w:pPr>
        <w:pStyle w:val="ListBullet"/>
        <w:spacing w:after="30"/>
      </w:pPr>
      <w:r>
        <w:rPr>
          <w:rFonts w:ascii="Noto Serif" w:hAnsi="Noto Serif"/>
          <w:color w:val="202124"/>
          <w:sz w:val="20"/>
        </w:rPr>
        <w:t>No public round-count reporting, ranking or reward.</w:t>
      </w:r>
    </w:p>
    <w:p>
      <w:pPr>
        <w:pStyle w:val="ListBullet"/>
        <w:spacing w:after="30"/>
      </w:pPr>
      <w:r>
        <w:rPr>
          <w:rFonts w:ascii="Noto Serif" w:hAnsi="Noto Serif"/>
          <w:color w:val="202124"/>
          <w:sz w:val="20"/>
        </w:rPr>
        <w:t>A new participant may begin with a time-based or small-count commitment and increase only when stable.</w:t>
      </w:r>
    </w:p>
    <w:p>
      <w:pPr>
        <w:pStyle w:val="ListBullet"/>
        <w:spacing w:after="30"/>
      </w:pPr>
      <w:r>
        <w:rPr>
          <w:rFonts w:ascii="Noto Serif" w:hAnsi="Noto Serif"/>
          <w:color w:val="202124"/>
          <w:sz w:val="20"/>
        </w:rPr>
        <w:t>No child is shamed, physically restrained or repeatedly corrected during japa.</w:t>
      </w:r>
    </w:p>
    <w:p>
      <w:pPr>
        <w:pStyle w:val="ListBullet"/>
        <w:spacing w:after="30"/>
      </w:pPr>
      <w:r>
        <w:rPr>
          <w:rFonts w:ascii="Noto Serif" w:hAnsi="Noto Serif"/>
          <w:color w:val="202124"/>
          <w:sz w:val="20"/>
        </w:rPr>
        <w:t>Families may use a quiet corner, walking japa or shorter focused periods where appropriate.</w:t>
      </w:r>
    </w:p>
    <w:p>
      <w:pPr>
        <w:pStyle w:val="ListBullet"/>
        <w:spacing w:after="30"/>
      </w:pPr>
      <w:r>
        <w:rPr>
          <w:rFonts w:ascii="Noto Serif" w:hAnsi="Noto Serif"/>
          <w:color w:val="202124"/>
          <w:sz w:val="20"/>
        </w:rPr>
        <w:t>Leaders distinguish inspiration from initiation standards; KUTUMBA does not promise initiation qualification.</w:t>
      </w:r>
    </w:p>
    <w:p>
      <w:pPr>
        <w:pStyle w:val="ListBullet"/>
        <w:spacing w:after="30"/>
      </w:pPr>
      <w:r>
        <w:rPr>
          <w:rFonts w:ascii="Noto Serif" w:hAnsi="Noto Serif"/>
          <w:color w:val="202124"/>
          <w:sz w:val="20"/>
        </w:rPr>
        <w:t>Persistent attention, mental-health or sensory concerns are handled compassionately and are not treated as moral failure.</w:t>
      </w:r>
    </w:p>
    <w:p>
      <w:pPr>
        <w:pStyle w:val="Heading2"/>
      </w:pPr>
      <w:r>
        <w:t>9.3 Private Review Questions</w:t>
      </w:r>
    </w:p>
    <w:p>
      <w:pPr>
        <w:pStyle w:val="ListBullet"/>
        <w:spacing w:after="30"/>
      </w:pPr>
      <w:r>
        <w:rPr>
          <w:rFonts w:ascii="Noto Serif" w:hAnsi="Noto Serif"/>
          <w:color w:val="202124"/>
          <w:sz w:val="20"/>
        </w:rPr>
        <w:t>When and where is chanting most likely to happen consistently?</w:t>
      </w:r>
    </w:p>
    <w:p>
      <w:pPr>
        <w:pStyle w:val="ListBullet"/>
        <w:spacing w:after="30"/>
      </w:pPr>
      <w:r>
        <w:rPr>
          <w:rFonts w:ascii="Noto Serif" w:hAnsi="Noto Serif"/>
          <w:color w:val="202124"/>
          <w:sz w:val="20"/>
        </w:rPr>
        <w:t>Can I hear each word clearly?</w:t>
      </w:r>
    </w:p>
    <w:p>
      <w:pPr>
        <w:pStyle w:val="ListBullet"/>
        <w:spacing w:after="30"/>
      </w:pPr>
      <w:r>
        <w:rPr>
          <w:rFonts w:ascii="Noto Serif" w:hAnsi="Noto Serif"/>
          <w:color w:val="202124"/>
          <w:sz w:val="20"/>
        </w:rPr>
        <w:t>What is the main predictable distraction, and what one control will I try?</w:t>
      </w:r>
    </w:p>
    <w:p>
      <w:pPr>
        <w:pStyle w:val="ListBullet"/>
        <w:spacing w:after="30"/>
      </w:pPr>
      <w:r>
        <w:rPr>
          <w:rFonts w:ascii="Noto Serif" w:hAnsi="Noto Serif"/>
          <w:color w:val="202124"/>
          <w:sz w:val="20"/>
        </w:rPr>
        <w:t>Is my commitment honest and sustainable for the next cycle?</w:t>
      </w:r>
    </w:p>
    <w:p>
      <w:pPr>
        <w:pStyle w:val="ListBullet"/>
        <w:spacing w:after="30"/>
      </w:pPr>
      <w:r>
        <w:rPr>
          <w:rFonts w:ascii="Noto Serif" w:hAnsi="Noto Serif"/>
          <w:color w:val="202124"/>
          <w:sz w:val="20"/>
        </w:rPr>
        <w:t>What support do I need from my family without turning them into monitors?</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10</w:t>
            </w:r>
          </w:p>
        </w:tc>
        <w:tc>
          <w:tcPr>
            <w:tcW w:type="dxa" w:w="9216"/>
            <w:shd w:fill="351A4A"/>
            <w:tcMar>
              <w:top w:w="140" w:type="dxa"/>
              <w:start w:w="120" w:type="dxa"/>
              <w:bottom w:w="140" w:type="dxa"/>
              <w:end w:w="120" w:type="dxa"/>
            </w:tcMar>
          </w:tcPr>
          <w:p>
            <w:r>
              <w:rPr>
                <w:rFonts w:ascii="Lato" w:hAnsi="Lato"/>
                <w:b/>
                <w:color w:val="FFFFFF"/>
                <w:sz w:val="30"/>
              </w:rPr>
              <w:t>RESTRICTED WORSHIP GATES</w:t>
              <w:br/>
            </w:r>
            <w:r>
              <w:rPr>
                <w:rFonts w:ascii="Noto Serif" w:hAnsi="Noto Serif"/>
                <w:i/>
                <w:color w:val="EEE7F3"/>
                <w:sz w:val="17"/>
              </w:rPr>
              <w:t>Ārati and food offering taught without manufacturing a procedure</w:t>
            </w:r>
          </w:p>
        </w:tc>
      </w:tr>
    </w:tbl>
    <w:p>
      <w:pPr>
        <w:spacing w:after="0"/>
      </w:pPr>
    </w:p>
    <w:p>
      <w:pPr>
        <w:pStyle w:val="Heading1"/>
      </w:pPr>
      <w:bookmarkStart w:id="954114" w:name="sec_arati"/>
      <w:r>
        <w:t>10. Ārati and Bhoga-Offering Training Gates</w:t>
      </w:r>
      <w:bookmarkEnd w:id="954114"/>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D5A93A"/>
            <w:tcMar>
              <w:top w:w="120" w:type="dxa"/>
              <w:start w:w="120" w:type="dxa"/>
              <w:bottom w:w="120" w:type="dxa"/>
              <w:end w:w="120" w:type="dxa"/>
            </w:tcMar>
            <w:tcBorders>
              <w:top w:val="single" w:sz="6" w:color="D5A93A"/>
              <w:start w:val="single" w:sz="6" w:color="D5A93A"/>
              <w:bottom w:val="single" w:sz="6" w:color="D5A93A"/>
              <w:end w:val="single" w:sz="6" w:color="D5A93A"/>
            </w:tcBorders>
          </w:tcPr>
          <w:p>
            <w:pPr>
              <w:jc w:val="center"/>
            </w:pPr>
            <w:r>
              <w:rPr>
                <w:rFonts w:ascii="Lato" w:hAnsi="Lato"/>
                <w:b/>
                <w:color w:val="FFFFFF"/>
                <w:sz w:val="16"/>
              </w:rPr>
              <w:t>AUTHORITY GATE</w:t>
            </w:r>
          </w:p>
        </w:tc>
        <w:tc>
          <w:tcPr>
            <w:tcW w:type="dxa" w:w="8496"/>
            <w:shd w:fill="FFF5D8"/>
            <w:tcMar>
              <w:top w:w="120" w:type="dxa"/>
              <w:start w:w="120" w:type="dxa"/>
              <w:bottom w:w="120" w:type="dxa"/>
              <w:end w:w="120" w:type="dxa"/>
            </w:tcMar>
            <w:tcBorders>
              <w:top w:val="single" w:sz="6" w:color="D5A93A"/>
              <w:start w:val="single" w:sz="6" w:color="D5A93A"/>
              <w:bottom w:val="single" w:sz="6" w:color="D5A93A"/>
              <w:end w:val="single" w:sz="6" w:color="D5A93A"/>
            </w:tcBorders>
          </w:tcPr>
          <w:p>
            <w:r>
              <w:rPr>
                <w:rFonts w:ascii="Lato" w:hAnsi="Lato"/>
                <w:b/>
                <w:color w:val="D5A93A"/>
                <w:sz w:val="20"/>
              </w:rPr>
              <w:t>Why the gate is strict</w:t>
              <w:br/>
            </w:r>
            <w:r>
              <w:rPr>
                <w:rFonts w:ascii="Noto Serif" w:hAnsi="Noto Serif"/>
                <w:color w:val="202124"/>
                <w:sz w:val="19"/>
              </w:rPr>
              <w:t>The ISKCON Deity Worship Ministry’s materials treat ārati and food offering as defined practices with preparatory activities, paraphernalia, mantras, cleanliness and assessment. Its home-worship course builds theory and practical skills over six weeks rather than through casual imitation. [R4][R5][R6]</w:t>
            </w:r>
          </w:p>
        </w:tc>
      </w:tr>
    </w:tbl>
    <w:p>
      <w:pPr>
        <w:spacing w:after="0"/>
      </w:pPr>
    </w:p>
    <w:p>
      <w:pPr>
        <w:pStyle w:val="Heading2"/>
      </w:pPr>
      <w:r>
        <w:t>10.1 Ārati Training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Gate</w:t>
            </w:r>
          </w:p>
        </w:tc>
        <w:tc>
          <w:tcPr>
            <w:tcW w:type="dxa" w:w="561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Training content</w:t>
            </w:r>
          </w:p>
        </w:tc>
        <w:tc>
          <w:tcPr>
            <w:tcW w:type="dxa" w:w="33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Permitted activity</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A0 Meaning</w:t>
            </w:r>
          </w:p>
        </w:tc>
        <w:tc>
          <w:tcPr>
            <w:tcW w:type="dxa" w:w="56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Purpose of ārati, role of guru, worship mood and congregation etiquette.</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Observe and discuss.</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A1 Articles</w:t>
            </w:r>
          </w:p>
        </w:tc>
        <w:tc>
          <w:tcPr>
            <w:tcW w:type="dxa" w:w="56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Identify approved paraphernalia and safe handling.</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Dry identification only.</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A2 Safety</w:t>
            </w:r>
          </w:p>
        </w:tc>
        <w:tc>
          <w:tcPr>
            <w:tcW w:type="dxa" w:w="56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Venue permission, flame zone, clothing/hair, extinguisher and emergency response.</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Dry rehearsal without flame.</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A3 Procedure</w:t>
            </w:r>
          </w:p>
        </w:tc>
        <w:tc>
          <w:tcPr>
            <w:tcW w:type="dxa" w:w="56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Exact approved sequence, mantras, direction and timing.</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Supervised rehearsal.</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A4 Demonstration</w:t>
            </w:r>
          </w:p>
        </w:tc>
        <w:tc>
          <w:tcPr>
            <w:tcW w:type="dxa" w:w="56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Complete performance before qualified trainer.</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Assessment only.</w:t>
            </w:r>
          </w:p>
        </w:tc>
      </w:tr>
      <w:tr>
        <w:trPr>
          <w:cantSplit/>
          <w:cantSplit/>
        </w:trPr>
        <w:tc>
          <w:tcPr>
            <w:tcW w:type="dxa" w:w="10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A5 Authorisation</w:t>
            </w:r>
          </w:p>
        </w:tc>
        <w:tc>
          <w:tcPr>
            <w:tcW w:type="dxa" w:w="561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Named service, venue and scope recorded.</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Perform assigned service.</w:t>
            </w:r>
          </w:p>
        </w:tc>
      </w:tr>
      <w:tr>
        <w:trPr>
          <w:cantSplit/>
          <w:cantSplit/>
        </w:trPr>
        <w:tc>
          <w:tcPr>
            <w:tcW w:type="dxa" w:w="10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A6 Review</w:t>
            </w:r>
          </w:p>
        </w:tc>
        <w:tc>
          <w:tcPr>
            <w:tcW w:type="dxa" w:w="561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Periodic observation and incident/correction review.</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Renew, limit, remediate or withdraw.</w:t>
            </w:r>
          </w:p>
        </w:tc>
      </w:tr>
    </w:tbl>
    <w:p>
      <w:pPr>
        <w:spacing w:after="0"/>
      </w:pPr>
    </w:p>
    <w:p>
      <w:pPr>
        <w:pStyle w:val="Heading2"/>
      </w:pPr>
      <w:r>
        <w:t>10.2 Group Bhoga-Offering Training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Gate</w:t>
            </w:r>
          </w:p>
        </w:tc>
        <w:tc>
          <w:tcPr>
            <w:tcW w:type="dxa" w:w="54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Content</w:t>
            </w:r>
          </w:p>
        </w:tc>
        <w:tc>
          <w:tcPr>
            <w:tcW w:type="dxa" w:w="352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Control</w:t>
            </w:r>
          </w:p>
        </w:tc>
      </w:tr>
      <w:tr>
        <w:trPr>
          <w:cantSplit/>
          <w:cantSplit/>
        </w:trPr>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B0 Philosophy</w:t>
            </w:r>
          </w:p>
        </w:tc>
        <w:tc>
          <w:tcPr>
            <w:tcW w:type="dxa" w:w="54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Kṛṣṇa as enjoyer; bhoga, offering and prasāda.</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All families may learn.</w:t>
            </w:r>
          </w:p>
        </w:tc>
      </w:tr>
      <w:tr>
        <w:trPr>
          <w:cantSplit/>
          <w:cantSplit/>
        </w:trPr>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B1 Kitchen consciousness</w:t>
            </w:r>
          </w:p>
        </w:tc>
        <w:tc>
          <w:tcPr>
            <w:tcW w:type="dxa" w:w="54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Suitable ingredients, no tasting, clean utensils and respectful preparation.</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Coordinate with prasāda operations manual.</w:t>
            </w:r>
          </w:p>
        </w:tc>
      </w:tr>
      <w:tr>
        <w:trPr>
          <w:cantSplit/>
          <w:cantSplit/>
        </w:trPr>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B2 Handoff</w:t>
            </w:r>
          </w:p>
        </w:tc>
        <w:tc>
          <w:tcPr>
            <w:tcW w:type="dxa" w:w="54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Label, receive, check, separate and present the offering.</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Bhoga team may learn and shadow.</w:t>
            </w:r>
          </w:p>
        </w:tc>
      </w:tr>
      <w:tr>
        <w:trPr>
          <w:cantSplit/>
          <w:cantSplit/>
        </w:trPr>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B3 Exact offering</w:t>
            </w:r>
          </w:p>
        </w:tc>
        <w:tc>
          <w:tcPr>
            <w:tcW w:type="dxa" w:w="54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Approved plates, articles, mantras, timing and completion.</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Restricted to qualified, authorised servant.</w:t>
            </w:r>
          </w:p>
        </w:tc>
      </w:tr>
      <w:tr>
        <w:trPr>
          <w:cantSplit/>
          <w:cantSplit/>
        </w:trPr>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B4 Return and service</w:t>
            </w:r>
          </w:p>
        </w:tc>
        <w:tc>
          <w:tcPr>
            <w:tcW w:type="dxa" w:w="54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Release, mix/serve where approved, preserve separation and clean articles.</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Defined roles only.</w:t>
            </w:r>
          </w:p>
        </w:tc>
      </w:tr>
      <w:tr>
        <w:trPr>
          <w:cantSplit/>
          <w:cantSplit/>
        </w:trPr>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B5 Contingency</w:t>
            </w:r>
          </w:p>
        </w:tc>
        <w:tc>
          <w:tcPr>
            <w:tcW w:type="dxa" w:w="54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Late food, missing item, contamination, allergy or no authorised offerer.</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Use pre-approved fallback; never improvise ritual.</w:t>
            </w:r>
          </w:p>
        </w:tc>
      </w:tr>
    </w:tbl>
    <w:p>
      <w:pPr>
        <w:spacing w:after="0"/>
      </w:pPr>
    </w:p>
    <w:p>
      <w:pPr>
        <w:pStyle w:val="Heading2"/>
      </w:pPr>
      <w:r>
        <w:t>10.3 Launch Decision Matrix</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5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Condition</w:t>
            </w:r>
          </w:p>
        </w:tc>
        <w:tc>
          <w:tcPr>
            <w:tcW w:type="dxa" w:w="55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Decision</w:t>
            </w:r>
          </w:p>
        </w:tc>
      </w:tr>
      <w:tr>
        <w:trPr>
          <w:cantSplit/>
          <w:cantSplit/>
        </w:trPr>
        <w:tc>
          <w:tcPr>
            <w:tcW w:type="dxa" w:w="45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qualified reviewer or trainer identified</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 not conduct rotating ārati or formal group offering.</w:t>
            </w:r>
          </w:p>
        </w:tc>
      </w:tr>
      <w:tr>
        <w:trPr>
          <w:cantSplit/>
          <w:cantSplit/>
        </w:trPr>
        <w:tc>
          <w:tcPr>
            <w:tcW w:type="dxa" w:w="45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Written procedure approved but venue prohibits flame</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flame ārati; use approved alternative program design or temple-based training.</w:t>
            </w:r>
          </w:p>
        </w:tc>
      </w:tr>
      <w:tr>
        <w:trPr>
          <w:cantSplit/>
          <w:cantSplit/>
        </w:trPr>
        <w:tc>
          <w:tcPr>
            <w:tcW w:type="dxa" w:w="45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Authorised servant absent</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Use the approved contingency; do not assign the nearest available adult.</w:t>
            </w:r>
          </w:p>
        </w:tc>
      </w:tr>
      <w:tr>
        <w:trPr>
          <w:cantSplit/>
          <w:cantSplit/>
        </w:trPr>
        <w:tc>
          <w:tcPr>
            <w:tcW w:type="dxa" w:w="45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Food arrives after offering deadline</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Follow operations fallback; do not rush or conceal the issue.</w:t>
            </w:r>
          </w:p>
        </w:tc>
      </w:tr>
      <w:tr>
        <w:trPr>
          <w:cantSplit/>
          <w:cantSplit/>
        </w:trPr>
        <w:tc>
          <w:tcPr>
            <w:tcW w:type="dxa" w:w="45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Child asks to hold lamp</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Decline kindly; offer a safe adjacent service.</w:t>
            </w:r>
          </w:p>
        </w:tc>
      </w:tr>
      <w:tr>
        <w:trPr>
          <w:cantSplit/>
          <w:cantSplit/>
        </w:trPr>
        <w:tc>
          <w:tcPr>
            <w:tcW w:type="dxa" w:w="45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Procedure disputed during program</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Stop, simplify and review later. Do not debate in front of the altar or congregation.</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11</w:t>
            </w:r>
          </w:p>
        </w:tc>
        <w:tc>
          <w:tcPr>
            <w:tcW w:type="dxa" w:w="9216"/>
            <w:shd w:fill="351A4A"/>
            <w:tcMar>
              <w:top w:w="140" w:type="dxa"/>
              <w:start w:w="120" w:type="dxa"/>
              <w:bottom w:w="140" w:type="dxa"/>
              <w:end w:w="120" w:type="dxa"/>
            </w:tcMar>
          </w:tcPr>
          <w:p>
            <w:r>
              <w:rPr>
                <w:rFonts w:ascii="Lato" w:hAnsi="Lato"/>
                <w:b/>
                <w:color w:val="FFFFFF"/>
                <w:sz w:val="30"/>
              </w:rPr>
              <w:t>HOME SACRED SPACE</w:t>
              <w:br/>
            </w:r>
            <w:r>
              <w:rPr>
                <w:rFonts w:ascii="Noto Serif" w:hAnsi="Noto Serif"/>
                <w:i/>
                <w:color w:val="EEE7F3"/>
                <w:sz w:val="17"/>
              </w:rPr>
              <w:t>A maintainable family standard before complex Deity worship</w:t>
            </w:r>
          </w:p>
        </w:tc>
      </w:tr>
    </w:tbl>
    <w:p>
      <w:pPr>
        <w:spacing w:after="0"/>
      </w:pPr>
    </w:p>
    <w:p>
      <w:pPr>
        <w:pStyle w:val="Heading1"/>
      </w:pPr>
      <w:bookmarkStart w:id="87562" w:name="sec_home"/>
      <w:r>
        <w:t>11. Home Sacred Space and Household Worship</w:t>
      </w:r>
      <w:bookmarkEnd w:id="87562"/>
    </w:p>
    <w:p>
      <w:pPr>
        <w:pStyle w:val="BodyText"/>
        <w:spacing w:after="80"/>
      </w:pPr>
      <w:r>
        <w:rPr>
          <w:rFonts w:ascii="Noto Serif" w:hAnsi="Noto Serif"/>
          <w:i w:val="0"/>
          <w:color w:val="202124"/>
          <w:sz w:val="20"/>
        </w:rPr>
        <w:t>The default Year-One goal is a clean, intentional sacred space—normally beginning with approved pictures and a practice the family can maintain. Formal Deity ownership is not a Year-One success metric. ISKCON’s own home-worship training distinguishes home and temple worship, covers purity, food offering, Tulasī, ārati, children, travel and offences, and builds each topic progressively. [R4]</w:t>
      </w:r>
    </w:p>
    <w:p>
      <w:pPr>
        <w:pStyle w:val="Heading2"/>
      </w:pPr>
      <w:r>
        <w:t>11.1 Minimum Viable Sacred Space</w:t>
      </w:r>
    </w:p>
    <w:p>
      <w:pPr>
        <w:pStyle w:val="ListBullet"/>
        <w:spacing w:after="30"/>
      </w:pPr>
      <w:r>
        <w:rPr>
          <w:rFonts w:ascii="Noto Serif" w:hAnsi="Noto Serif"/>
          <w:color w:val="202124"/>
          <w:sz w:val="20"/>
        </w:rPr>
        <w:t>A stable, clean location above ordinary floor clutter and away from shoes, laundry, television and food storage.</w:t>
      </w:r>
    </w:p>
    <w:p>
      <w:pPr>
        <w:pStyle w:val="ListBullet"/>
        <w:spacing w:after="30"/>
      </w:pPr>
      <w:r>
        <w:rPr>
          <w:rFonts w:ascii="Noto Serif" w:hAnsi="Noto Serif"/>
          <w:color w:val="202124"/>
          <w:sz w:val="20"/>
        </w:rPr>
        <w:t>Only approved pictures and devotional items; no crowded mixture of unrelated religious or decorative objects.</w:t>
      </w:r>
    </w:p>
    <w:p>
      <w:pPr>
        <w:pStyle w:val="ListBullet"/>
        <w:spacing w:after="30"/>
      </w:pPr>
      <w:r>
        <w:rPr>
          <w:rFonts w:ascii="Noto Serif" w:hAnsi="Noto Serif"/>
          <w:color w:val="202124"/>
          <w:sz w:val="20"/>
        </w:rPr>
        <w:t>Clean cloth, frames and surface; dedicated cleaning materials where practical.</w:t>
      </w:r>
    </w:p>
    <w:p>
      <w:pPr>
        <w:pStyle w:val="ListBullet"/>
        <w:spacing w:after="30"/>
      </w:pPr>
      <w:r>
        <w:rPr>
          <w:rFonts w:ascii="Noto Serif" w:hAnsi="Noto Serif"/>
          <w:color w:val="202124"/>
          <w:sz w:val="20"/>
        </w:rPr>
        <w:t>A realistic daily or weekly attention routine—such as prayer, family chanting, reading or a simple approved offering.</w:t>
      </w:r>
    </w:p>
    <w:p>
      <w:pPr>
        <w:pStyle w:val="ListBullet"/>
        <w:spacing w:after="30"/>
      </w:pPr>
      <w:r>
        <w:rPr>
          <w:rFonts w:ascii="Noto Serif" w:hAnsi="Noto Serif"/>
          <w:color w:val="202124"/>
          <w:sz w:val="20"/>
        </w:rPr>
        <w:t>A travel and illness plan so the practice does not become a source of guilt or neglect.</w:t>
      </w:r>
    </w:p>
    <w:p>
      <w:pPr>
        <w:pStyle w:val="ListBullet"/>
        <w:spacing w:after="30"/>
      </w:pPr>
      <w:r>
        <w:rPr>
          <w:rFonts w:ascii="Noto Serif" w:hAnsi="Noto Serif"/>
          <w:color w:val="202124"/>
          <w:sz w:val="20"/>
        </w:rPr>
        <w:t>No formal Deity acquisition without individual guidance about standard, continuity and family capacity.</w:t>
      </w:r>
    </w:p>
    <w:p>
      <w:pPr>
        <w:pStyle w:val="Heading2"/>
      </w:pPr>
      <w:r>
        <w:t>11.2 Home-Space Review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Domain</w:t>
            </w:r>
          </w:p>
        </w:tc>
        <w:tc>
          <w:tcPr>
            <w:tcW w:type="dxa" w:w="28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Green</w:t>
            </w:r>
          </w:p>
        </w:tc>
        <w:tc>
          <w:tcPr>
            <w:tcW w:type="dxa" w:w="25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Amber</w:t>
            </w:r>
          </w:p>
        </w:tc>
        <w:tc>
          <w:tcPr>
            <w:tcW w:type="dxa" w:w="302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Red</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Location</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Clean, stable and respectful.</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Shared space but controllable.</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Near shoes, clutter, unsafe heat or frequent disturbance.</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Content</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Approved and understandable.</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Some items need review.</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Unapproved Deities, ritual objects or mixed procedure.</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Routine</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Small and consistent.</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Inconsistent but realistic to correct.</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Elaborate promise with no capacity.</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Food offering</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Approved household method.</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Learning/shadow stage.</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Improvised mantras or unclear offered/unoffered separation.</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Children</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Included safely and positively.</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Needs clearer roles.</w:t>
            </w:r>
          </w:p>
        </w:tc>
        <w:tc>
          <w:tcPr>
            <w:tcW w:type="dxa" w:w="302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Children carry flame, knives, heavy items or responsibility.</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Cleanliness</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Simple supplies and routine.</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Occasional lapses.</w:t>
            </w:r>
          </w:p>
        </w:tc>
        <w:tc>
          <w:tcPr>
            <w:tcW w:type="dxa" w:w="302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Persistent contamination, pests or neglect.</w:t>
            </w:r>
          </w:p>
        </w:tc>
      </w:tr>
    </w:tbl>
    <w:p>
      <w:pPr>
        <w:spacing w:after="0"/>
      </w:pPr>
    </w:p>
    <w:p>
      <w:pPr>
        <w:pStyle w:val="Heading2"/>
      </w:pPr>
      <w:r>
        <w:t>11.3 Family Workshop Deliverable</w:t>
      </w:r>
    </w:p>
    <w:p>
      <w:pPr>
        <w:pStyle w:val="BodyText"/>
        <w:spacing w:after="80"/>
      </w:pPr>
      <w:r>
        <w:rPr>
          <w:rFonts w:ascii="Noto Serif" w:hAnsi="Noto Serif"/>
          <w:i w:val="0"/>
          <w:color w:val="202124"/>
          <w:sz w:val="20"/>
        </w:rPr>
        <w:t>Each family leaves the home-altar workshop with one drawing or photograph-free plan, one cleaning routine, one agreed prayer/chanting practice, one food-offering next step and one question for the approved trainer. No family is asked to display its home publicly or invite inspection without consent.</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12</w:t>
            </w:r>
          </w:p>
        </w:tc>
        <w:tc>
          <w:tcPr>
            <w:tcW w:type="dxa" w:w="9216"/>
            <w:shd w:fill="351A4A"/>
            <w:tcMar>
              <w:top w:w="140" w:type="dxa"/>
              <w:start w:w="120" w:type="dxa"/>
              <w:bottom w:w="140" w:type="dxa"/>
              <w:end w:w="120" w:type="dxa"/>
            </w:tcMar>
          </w:tcPr>
          <w:p>
            <w:r>
              <w:rPr>
                <w:rFonts w:ascii="Lato" w:hAnsi="Lato"/>
                <w:b/>
                <w:color w:val="FFFFFF"/>
                <w:sz w:val="30"/>
              </w:rPr>
              <w:t>DEVOTIONAL IDENTITY MODULES</w:t>
              <w:br/>
            </w:r>
            <w:r>
              <w:rPr>
                <w:rFonts w:ascii="Noto Serif" w:hAnsi="Noto Serif"/>
                <w:i/>
                <w:color w:val="EEE7F3"/>
                <w:sz w:val="17"/>
              </w:rPr>
              <w:t>Tulasī, tilaka, kanthi and Ekādaśī taught with meaning and boundaries</w:t>
            </w:r>
          </w:p>
        </w:tc>
      </w:tr>
    </w:tbl>
    <w:p>
      <w:pPr>
        <w:spacing w:after="0"/>
      </w:pPr>
    </w:p>
    <w:p>
      <w:pPr>
        <w:pStyle w:val="Heading1"/>
      </w:pPr>
      <w:bookmarkStart w:id="288314" w:name="sec_modules"/>
      <w:r>
        <w:t>12. Tulasī, Tilaka, Kanthi and Ekādaśī</w:t>
      </w:r>
      <w:bookmarkEnd w:id="288314"/>
    </w:p>
    <w:p>
      <w:pPr>
        <w:pStyle w:val="Heading2"/>
      </w:pPr>
      <w:r>
        <w:t>12.1 Tulasī Module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Teach</w:t>
            </w:r>
          </w:p>
        </w:tc>
        <w:tc>
          <w:tcPr>
            <w:tcW w:type="dxa" w:w="33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Practise</w:t>
            </w:r>
          </w:p>
        </w:tc>
        <w:tc>
          <w:tcPr>
            <w:tcW w:type="dxa" w:w="3311"/>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Keep controlled</w:t>
            </w:r>
          </w:p>
        </w:tc>
      </w:tr>
      <w:tr>
        <w:trPr>
          <w:cantSplit/>
          <w:cantSplit/>
        </w:trPr>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Identity, devotional significance and scriptural connection.</w:t>
            </w:r>
          </w:p>
        </w:tc>
        <w:tc>
          <w:tcPr>
            <w:tcW w:type="dxa" w:w="33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Respectful approach, clean area, watering/care appropriate to the plant and environment.</w:t>
            </w:r>
          </w:p>
        </w:tc>
        <w:tc>
          <w:tcPr>
            <w:tcW w:type="dxa" w:w="331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Exact pūjā sequence, leaf-collection times/rules, restricted mantras and use in formal offerings.</w:t>
            </w:r>
          </w:p>
        </w:tc>
      </w:tr>
      <w:tr>
        <w:trPr>
          <w:cantSplit/>
          <w:cantSplit/>
        </w:trPr>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Tulasī service accompanies chanting and surrender. [R9]</w:t>
            </w:r>
          </w:p>
        </w:tc>
        <w:tc>
          <w:tcPr>
            <w:tcW w:type="dxa" w:w="33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Children may assist with safe watering or area care under supervision.</w:t>
            </w:r>
          </w:p>
        </w:tc>
        <w:tc>
          <w:tcPr>
            <w:tcW w:type="dxa" w:w="331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independent plucking by untrained children or adults.</w:t>
            </w:r>
          </w:p>
        </w:tc>
      </w:tr>
    </w:tbl>
    <w:p>
      <w:pPr>
        <w:spacing w:after="0"/>
      </w:pPr>
    </w:p>
    <w:p>
      <w:pPr>
        <w:pStyle w:val="Heading2"/>
      </w:pPr>
      <w:r>
        <w:t>12.2 Tilaka Module</w:t>
      </w:r>
    </w:p>
    <w:p>
      <w:pPr>
        <w:pStyle w:val="ListBullet"/>
        <w:spacing w:after="30"/>
      </w:pPr>
      <w:r>
        <w:rPr>
          <w:rFonts w:ascii="Noto Serif" w:hAnsi="Noto Serif"/>
          <w:color w:val="202124"/>
          <w:sz w:val="20"/>
        </w:rPr>
        <w:t>Meaning: the body is dedicated to the Lord’s service; tilaka is not decoration or a badge of superiority.</w:t>
      </w:r>
    </w:p>
    <w:p>
      <w:pPr>
        <w:pStyle w:val="ListBullet"/>
        <w:spacing w:after="30"/>
      </w:pPr>
      <w:r>
        <w:rPr>
          <w:rFonts w:ascii="Noto Serif" w:hAnsi="Noto Serif"/>
          <w:color w:val="202124"/>
          <w:sz w:val="20"/>
        </w:rPr>
        <w:t>Use only approved clay and a trainer-approved demonstration.</w:t>
      </w:r>
    </w:p>
    <w:p>
      <w:pPr>
        <w:pStyle w:val="ListBullet"/>
        <w:spacing w:after="30"/>
      </w:pPr>
      <w:r>
        <w:rPr>
          <w:rFonts w:ascii="Noto Serif" w:hAnsi="Noto Serif"/>
          <w:color w:val="202124"/>
          <w:sz w:val="20"/>
        </w:rPr>
        <w:t>Teach personal cleanliness, respectful storage and appropriate conduct while wearing tilaka.</w:t>
      </w:r>
    </w:p>
    <w:p>
      <w:pPr>
        <w:pStyle w:val="ListBullet"/>
        <w:spacing w:after="30"/>
      </w:pPr>
      <w:r>
        <w:rPr>
          <w:rFonts w:ascii="Noto Serif" w:hAnsi="Noto Serif"/>
          <w:color w:val="202124"/>
          <w:sz w:val="20"/>
        </w:rPr>
        <w:t>The twelve-mark procedure and mantras remain in the authority-approved learner appendix.</w:t>
      </w:r>
    </w:p>
    <w:p>
      <w:pPr>
        <w:pStyle w:val="ListBullet"/>
        <w:spacing w:after="30"/>
      </w:pPr>
      <w:r>
        <w:rPr>
          <w:rFonts w:ascii="Noto Serif" w:hAnsi="Noto Serif"/>
          <w:color w:val="202124"/>
          <w:sz w:val="20"/>
        </w:rPr>
        <w:t>No ridicule of shape, neatness or whether a newcomer is ready to wear it publicly.</w:t>
      </w:r>
    </w:p>
    <w:p>
      <w:pPr>
        <w:pStyle w:val="Heading2"/>
      </w:pPr>
      <w:r>
        <w:t>12.3 Kanthi-Mālā Module</w:t>
      </w:r>
    </w:p>
    <w:p>
      <w:pPr>
        <w:pStyle w:val="ListBullet"/>
        <w:spacing w:after="30"/>
      </w:pPr>
      <w:r>
        <w:rPr>
          <w:rFonts w:ascii="Noto Serif" w:hAnsi="Noto Serif"/>
          <w:color w:val="202124"/>
          <w:sz w:val="20"/>
        </w:rPr>
        <w:t>Explain devotional significance and local temple expectations.</w:t>
      </w:r>
    </w:p>
    <w:p>
      <w:pPr>
        <w:pStyle w:val="ListBullet"/>
        <w:spacing w:after="30"/>
      </w:pPr>
      <w:r>
        <w:rPr>
          <w:rFonts w:ascii="Noto Serif" w:hAnsi="Noto Serif"/>
          <w:color w:val="202124"/>
          <w:sz w:val="20"/>
        </w:rPr>
        <w:t>Teach respectful wearing, cleaning/replacement guidance and what to do when damaged.</w:t>
      </w:r>
    </w:p>
    <w:p>
      <w:pPr>
        <w:pStyle w:val="ListBullet"/>
        <w:spacing w:after="30"/>
      </w:pPr>
      <w:r>
        <w:rPr>
          <w:rFonts w:ascii="Noto Serif" w:hAnsi="Noto Serif"/>
          <w:color w:val="202124"/>
          <w:sz w:val="20"/>
        </w:rPr>
        <w:t>Do not treat kanthi as fashion, initiation proof or a basis for judging another participant.</w:t>
      </w:r>
    </w:p>
    <w:p>
      <w:pPr>
        <w:pStyle w:val="ListBullet"/>
        <w:spacing w:after="30"/>
      </w:pPr>
      <w:r>
        <w:rPr>
          <w:rFonts w:ascii="Noto Serif" w:hAnsi="Noto Serif"/>
          <w:color w:val="202124"/>
          <w:sz w:val="20"/>
        </w:rPr>
        <w:t>Questions involving initiation status or formal vows are referred to the appropriate authority.</w:t>
      </w:r>
    </w:p>
    <w:p>
      <w:pPr>
        <w:pStyle w:val="Heading2"/>
      </w:pPr>
      <w:r>
        <w:t>12.4 Ekādaśī Module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Domain</w:t>
            </w:r>
          </w:p>
        </w:tc>
        <w:tc>
          <w:tcPr>
            <w:tcW w:type="dxa" w:w="82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Operating rule</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Calendar</w:t>
            </w:r>
          </w:p>
        </w:tc>
        <w:tc>
          <w:tcPr>
            <w:tcW w:type="dxa" w:w="82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Use the locally approved Vaiṣṇava calendar for the participant’s location; do not calculate dates informally.</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Purpose</w:t>
            </w:r>
          </w:p>
        </w:tc>
        <w:tc>
          <w:tcPr>
            <w:tcW w:type="dxa" w:w="82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Increase remembrance, hearing, chanting and service; food restriction is not the entire observance.</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Food standard</w:t>
            </w:r>
          </w:p>
        </w:tc>
        <w:tc>
          <w:tcPr>
            <w:tcW w:type="dxa" w:w="82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Use the local temple’s approved ingredient and breaking-time guidance; avoid crowd-sourced lists.</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Children</w:t>
            </w:r>
          </w:p>
        </w:tc>
        <w:tc>
          <w:tcPr>
            <w:tcW w:type="dxa" w:w="82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Offer age-appropriate participation; never use fasting as discipline.</w:t>
            </w:r>
          </w:p>
        </w:tc>
      </w:tr>
      <w:tr>
        <w:trPr>
          <w:cantSplit/>
          <w:cantSplit/>
        </w:trPr>
        <w:tc>
          <w:tcPr>
            <w:tcW w:type="dxa" w:w="18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Health</w:t>
            </w:r>
          </w:p>
        </w:tc>
        <w:tc>
          <w:tcPr>
            <w:tcW w:type="dxa" w:w="82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Pregnant persons, older adults, people with diabetes or other medical needs must not be pressured into unsafe fasting; medical guidance takes priority.</w:t>
            </w:r>
          </w:p>
        </w:tc>
      </w:tr>
      <w:tr>
        <w:trPr>
          <w:cantSplit/>
          <w:cantSplit/>
        </w:trPr>
        <w:tc>
          <w:tcPr>
            <w:tcW w:type="dxa" w:w="18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Privacy</w:t>
            </w:r>
          </w:p>
        </w:tc>
        <w:tc>
          <w:tcPr>
            <w:tcW w:type="dxa" w:w="82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public comparison of austerity, nirjala observance or menu strictness.</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13</w:t>
            </w:r>
          </w:p>
        </w:tc>
        <w:tc>
          <w:tcPr>
            <w:tcW w:type="dxa" w:w="9216"/>
            <w:shd w:fill="351A4A"/>
            <w:tcMar>
              <w:top w:w="140" w:type="dxa"/>
              <w:start w:w="120" w:type="dxa"/>
              <w:bottom w:w="140" w:type="dxa"/>
              <w:end w:w="120" w:type="dxa"/>
            </w:tcMar>
          </w:tcPr>
          <w:p>
            <w:r>
              <w:rPr>
                <w:rFonts w:ascii="Lato" w:hAnsi="Lato"/>
                <w:b/>
                <w:color w:val="FFFFFF"/>
                <w:sz w:val="30"/>
              </w:rPr>
              <w:t>SEVĀ LABORATORIES</w:t>
              <w:br/>
            </w:r>
            <w:r>
              <w:rPr>
                <w:rFonts w:ascii="Noto Serif" w:hAnsi="Noto Serif"/>
                <w:i/>
                <w:color w:val="EEE7F3"/>
                <w:sz w:val="17"/>
              </w:rPr>
              <w:t>Garlands, cleaning and festival preparation as disciplined service</w:t>
            </w:r>
          </w:p>
        </w:tc>
      </w:tr>
    </w:tbl>
    <w:p>
      <w:pPr>
        <w:spacing w:after="0"/>
      </w:pPr>
    </w:p>
    <w:p>
      <w:pPr>
        <w:pStyle w:val="Heading1"/>
      </w:pPr>
      <w:bookmarkStart w:id="387177" w:name="sec_seva"/>
      <w:r>
        <w:t>13. Garland, Cleaning and Festival-Sevā Laboratories</w:t>
      </w:r>
      <w:bookmarkEnd w:id="387177"/>
    </w:p>
    <w:p>
      <w:pPr>
        <w:pStyle w:val="Heading2"/>
      </w:pPr>
      <w:r>
        <w:t>13.1 Standard Laboratory Format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Phase</w:t>
            </w:r>
          </w:p>
        </w:tc>
        <w:tc>
          <w:tcPr>
            <w:tcW w:type="dxa" w:w="115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Minutes</w:t>
            </w:r>
          </w:p>
        </w:tc>
        <w:tc>
          <w:tcPr>
            <w:tcW w:type="dxa" w:w="6983"/>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What happens</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Purpose</w:t>
            </w:r>
          </w:p>
        </w:tc>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2</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devotional reason and one safety boundary.</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Demonstration</w:t>
            </w:r>
          </w:p>
        </w:tc>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4</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Trainer performs the skill without interruption.</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Guided practice</w:t>
            </w:r>
          </w:p>
        </w:tc>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8</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Pairs or families practise with assigned materials.</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Quality check</w:t>
            </w:r>
          </w:p>
        </w:tc>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3</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Cleanliness, completeness and safe handling.</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Reflection</w:t>
            </w:r>
          </w:p>
        </w:tc>
        <w:tc>
          <w:tcPr>
            <w:tcW w:type="dxa" w:w="115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2</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What attitude made the service better?</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Reset</w:t>
            </w:r>
          </w:p>
        </w:tc>
        <w:tc>
          <w:tcPr>
            <w:tcW w:type="dxa" w:w="115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1</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Count, clean, label and store materials.</w:t>
            </w:r>
          </w:p>
        </w:tc>
      </w:tr>
    </w:tbl>
    <w:p>
      <w:pPr>
        <w:spacing w:after="0"/>
      </w:pPr>
    </w:p>
    <w:p>
      <w:pPr>
        <w:pStyle w:val="Heading2"/>
      </w:pPr>
      <w:r>
        <w:t>13.2 Garland Laboratory</w:t>
      </w:r>
    </w:p>
    <w:p>
      <w:pPr>
        <w:pStyle w:val="ListBullet"/>
        <w:spacing w:after="30"/>
      </w:pPr>
      <w:r>
        <w:rPr>
          <w:rFonts w:ascii="Noto Serif" w:hAnsi="Noto Serif"/>
          <w:color w:val="202124"/>
          <w:sz w:val="20"/>
        </w:rPr>
        <w:t>Use a clean, dedicated surface and approved flowers/materials.</w:t>
      </w:r>
    </w:p>
    <w:p>
      <w:pPr>
        <w:pStyle w:val="ListBullet"/>
        <w:spacing w:after="30"/>
      </w:pPr>
      <w:r>
        <w:rPr>
          <w:rFonts w:ascii="Noto Serif" w:hAnsi="Noto Serif"/>
          <w:color w:val="202124"/>
          <w:sz w:val="20"/>
        </w:rPr>
        <w:t>Needles, scissors and wire are controlled by adults or age-qualified participants under direct supervision.</w:t>
      </w:r>
    </w:p>
    <w:p>
      <w:pPr>
        <w:pStyle w:val="ListBullet"/>
        <w:spacing w:after="30"/>
      </w:pPr>
      <w:r>
        <w:rPr>
          <w:rFonts w:ascii="Noto Serif" w:hAnsi="Noto Serif"/>
          <w:color w:val="202124"/>
          <w:sz w:val="20"/>
        </w:rPr>
        <w:t>Teach one simple pattern; appearance is not a competition.</w:t>
      </w:r>
    </w:p>
    <w:p>
      <w:pPr>
        <w:pStyle w:val="ListBullet"/>
        <w:spacing w:after="30"/>
      </w:pPr>
      <w:r>
        <w:rPr>
          <w:rFonts w:ascii="Noto Serif" w:hAnsi="Noto Serif"/>
          <w:color w:val="202124"/>
          <w:sz w:val="20"/>
        </w:rPr>
        <w:t>Finished garlands are handed to the authorised worship servant; participants do not independently place them on Deities.</w:t>
      </w:r>
    </w:p>
    <w:p>
      <w:pPr>
        <w:pStyle w:val="ListBullet"/>
        <w:spacing w:after="30"/>
      </w:pPr>
      <w:r>
        <w:rPr>
          <w:rFonts w:ascii="Noto Serif" w:hAnsi="Noto Serif"/>
          <w:color w:val="202124"/>
          <w:sz w:val="20"/>
        </w:rPr>
        <w:t>Record allergies and latex sensitivity where relevant; wash hands after plant handling.</w:t>
      </w:r>
    </w:p>
    <w:p>
      <w:pPr>
        <w:pStyle w:val="Heading2"/>
      </w:pPr>
      <w:r>
        <w:t>13.3 Devotional Cleaning Laboratory</w:t>
      </w:r>
    </w:p>
    <w:p>
      <w:pPr>
        <w:pStyle w:val="ListBullet"/>
        <w:spacing w:after="30"/>
      </w:pPr>
      <w:r>
        <w:rPr>
          <w:rFonts w:ascii="Noto Serif" w:hAnsi="Noto Serif"/>
          <w:color w:val="202124"/>
          <w:sz w:val="20"/>
        </w:rPr>
        <w:t>Differentiate altar cloths, instrument cloths, food-area cloths and general floor cloths.</w:t>
      </w:r>
    </w:p>
    <w:p>
      <w:pPr>
        <w:pStyle w:val="ListBullet"/>
        <w:spacing w:after="30"/>
      </w:pPr>
      <w:r>
        <w:rPr>
          <w:rFonts w:ascii="Noto Serif" w:hAnsi="Noto Serif"/>
          <w:color w:val="202124"/>
          <w:sz w:val="20"/>
        </w:rPr>
        <w:t>Demonstrate top-to-bottom cleaning, clean-to-dirty movement and proper handwashing.</w:t>
      </w:r>
    </w:p>
    <w:p>
      <w:pPr>
        <w:pStyle w:val="ListBullet"/>
        <w:spacing w:after="30"/>
      </w:pPr>
      <w:r>
        <w:rPr>
          <w:rFonts w:ascii="Noto Serif" w:hAnsi="Noto Serif"/>
          <w:color w:val="202124"/>
          <w:sz w:val="20"/>
        </w:rPr>
        <w:t>Teach approved disposal or return of flowers and sacred remnants.</w:t>
      </w:r>
    </w:p>
    <w:p>
      <w:pPr>
        <w:pStyle w:val="ListBullet"/>
        <w:spacing w:after="30"/>
      </w:pPr>
      <w:r>
        <w:rPr>
          <w:rFonts w:ascii="Noto Serif" w:hAnsi="Noto Serif"/>
          <w:color w:val="202124"/>
          <w:sz w:val="20"/>
        </w:rPr>
        <w:t>Never spray chemicals toward sacred pictures, instruments, food or children.</w:t>
      </w:r>
    </w:p>
    <w:p>
      <w:pPr>
        <w:pStyle w:val="ListBullet"/>
        <w:spacing w:after="30"/>
      </w:pPr>
      <w:r>
        <w:rPr>
          <w:rFonts w:ascii="Noto Serif" w:hAnsi="Noto Serif"/>
          <w:color w:val="202124"/>
          <w:sz w:val="20"/>
        </w:rPr>
        <w:t>Cleaning is not assigned as a humiliating correction; it is shared devotional service.</w:t>
      </w:r>
    </w:p>
    <w:p>
      <w:pPr>
        <w:pStyle w:val="Heading2"/>
      </w:pPr>
      <w:r>
        <w:t>13.4 Festival-Sevā Laboratory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Station</w:t>
            </w:r>
          </w:p>
        </w:tc>
        <w:tc>
          <w:tcPr>
            <w:tcW w:type="dxa" w:w="432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Age-appropriate tasks</w:t>
            </w:r>
          </w:p>
        </w:tc>
        <w:tc>
          <w:tcPr>
            <w:tcW w:type="dxa" w:w="432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Restricted / adult tasks</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Decorations</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Paper flowers, approved signs, table layout.</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Ladders, ceiling fixtures, electrical installation.</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Kīrtana</w:t>
            </w:r>
          </w:p>
        </w:tc>
        <w:tc>
          <w:tcPr>
            <w:tcW w:type="dxa" w:w="432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Prayer sheets, instrument count, response support.</w:t>
            </w:r>
          </w:p>
        </w:tc>
        <w:tc>
          <w:tcPr>
            <w:tcW w:type="dxa" w:w="432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Sound-system changes and lead approval.</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Worship</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Flower sorting, cloth folding, observation.</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Flame, Deity handling, formal offerings.</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Prasāda</w:t>
            </w:r>
          </w:p>
        </w:tc>
        <w:tc>
          <w:tcPr>
            <w:tcW w:type="dxa" w:w="432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Labels, seating cards, serving under supervision.</w:t>
            </w:r>
          </w:p>
        </w:tc>
        <w:tc>
          <w:tcPr>
            <w:tcW w:type="dxa" w:w="432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Hot food, knives, allergy decisions.</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Reset</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Collect supplies, wipe tables, count materials.</w:t>
            </w:r>
          </w:p>
        </w:tc>
        <w:tc>
          <w:tcPr>
            <w:tcW w:type="dxa" w:w="432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Chemical handling, heavy equipment, locked storage.</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14</w:t>
            </w:r>
          </w:p>
        </w:tc>
        <w:tc>
          <w:tcPr>
            <w:tcW w:type="dxa" w:w="9216"/>
            <w:shd w:fill="351A4A"/>
            <w:tcMar>
              <w:top w:w="140" w:type="dxa"/>
              <w:start w:w="120" w:type="dxa"/>
              <w:bottom w:w="140" w:type="dxa"/>
              <w:end w:w="120" w:type="dxa"/>
            </w:tcMar>
          </w:tcPr>
          <w:p>
            <w:r>
              <w:rPr>
                <w:rFonts w:ascii="Lato" w:hAnsi="Lato"/>
                <w:b/>
                <w:color w:val="FFFFFF"/>
                <w:sz w:val="30"/>
              </w:rPr>
              <w:t>MONTHLY WORKSHOPS</w:t>
              <w:br/>
            </w:r>
            <w:r>
              <w:rPr>
                <w:rFonts w:ascii="Noto Serif" w:hAnsi="Noto Serif"/>
                <w:i/>
                <w:color w:val="EEE7F3"/>
                <w:sz w:val="17"/>
              </w:rPr>
              <w:t>Twelve practice integrations inside the existing calendar</w:t>
            </w:r>
          </w:p>
        </w:tc>
      </w:tr>
    </w:tbl>
    <w:p>
      <w:pPr>
        <w:spacing w:after="0"/>
      </w:pPr>
    </w:p>
    <w:p>
      <w:pPr>
        <w:pStyle w:val="Heading1"/>
      </w:pPr>
      <w:bookmarkStart w:id="726438" w:name="sec_monthly"/>
      <w:r>
        <w:t>14. Monthly Practice Workshops</w:t>
      </w:r>
      <w:bookmarkEnd w:id="726438"/>
    </w:p>
    <w:p>
      <w:pPr>
        <w:pStyle w:val="BodyText"/>
        <w:spacing w:after="80"/>
      </w:pPr>
      <w:r>
        <w:rPr>
          <w:rFonts w:ascii="Noto Serif" w:hAnsi="Noto Serif"/>
          <w:i w:val="0"/>
          <w:color w:val="202124"/>
          <w:sz w:val="20"/>
        </w:rPr>
        <w:t>These workshops replace the normal 20-minute bhakti laboratory or a regular Friday block. They are not twelve extra events. Calendar needs may reorder them, especially during Gaura-pūrṇimā, Ratha-yātrā, Janmāṣṭamī and Dāmodara month.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Month</w:t>
            </w:r>
          </w:p>
        </w:tc>
        <w:tc>
          <w:tcPr>
            <w:tcW w:type="dxa" w:w="309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Workshop</w:t>
            </w:r>
          </w:p>
        </w:tc>
        <w:tc>
          <w:tcPr>
            <w:tcW w:type="dxa" w:w="352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Core focus</w:t>
            </w:r>
          </w:p>
        </w:tc>
        <w:tc>
          <w:tcPr>
            <w:tcW w:type="dxa" w:w="266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Output</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Sacred sound and pronunciation</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Tier 0 baseline; response etiquette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core-prayer card</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2</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Prasāda prayers</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Meaning, pace and children’s participation</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Meal-opening routine</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3</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Kartāla foundations</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Grip, pulse and volume</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K1 observation</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4</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Japa mechanics</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Beads, sound and posture</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Personal practice plan</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5</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Mṛdaṅga orientation</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Handling and first strokes</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M0/M1 record</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6</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Home sacred space</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Location, cleanliness and maintainability</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space plan</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7</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Bhoga philosophy and handoff</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Offered/unoffered separation</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Handoff drill</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8</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Garland and cleaning</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Safe tools and sacred materials</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Completed sevā item</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9</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Tulasī care</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Respect, plant care and controlled boundaries</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Care checklist</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10</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Tilaka, kanthi and Ekādaśī</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Meaning, calendar and safe observance</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questions resolved</w:t>
            </w:r>
          </w:p>
        </w:tc>
      </w:tr>
      <w:tr>
        <w:trPr>
          <w:cantSplit/>
          <w:cantSplit/>
        </w:trPr>
        <w:tc>
          <w:tcPr>
            <w:tcW w:type="dxa" w:w="7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11</w:t>
            </w:r>
          </w:p>
        </w:tc>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Ārati observation and safety</w:t>
            </w:r>
          </w:p>
        </w:tc>
        <w:tc>
          <w:tcPr>
            <w:tcW w:type="dxa" w:w="35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Articles, dry practice and venue controls</w:t>
            </w:r>
          </w:p>
        </w:tc>
        <w:tc>
          <w:tcPr>
            <w:tcW w:type="dxa" w:w="266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automatic authorisation</w:t>
            </w:r>
          </w:p>
        </w:tc>
      </w:tr>
      <w:tr>
        <w:trPr>
          <w:cantSplit/>
          <w:cantSplit/>
        </w:trPr>
        <w:tc>
          <w:tcPr>
            <w:tcW w:type="dxa" w:w="7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12</w:t>
            </w:r>
          </w:p>
        </w:tc>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Kīrtana leadership and annual review</w:t>
            </w:r>
          </w:p>
        </w:tc>
        <w:tc>
          <w:tcPr>
            <w:tcW w:type="dxa" w:w="35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Supervised lead and private feedback</w:t>
            </w:r>
          </w:p>
        </w:tc>
        <w:tc>
          <w:tcPr>
            <w:tcW w:type="dxa" w:w="266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Renewal decisions</w:t>
            </w:r>
          </w:p>
        </w:tc>
      </w:tr>
    </w:tbl>
    <w:p>
      <w:pPr>
        <w:spacing w:after="0"/>
      </w:pPr>
    </w:p>
    <w:p>
      <w:pPr>
        <w:pStyle w:val="Heading2"/>
      </w:pPr>
      <w:r>
        <w:t>14.1 Workshop Preparation Checklist</w:t>
      </w:r>
    </w:p>
    <w:p>
      <w:pPr>
        <w:pStyle w:val="ListBullet"/>
        <w:spacing w:after="30"/>
      </w:pPr>
      <w:r>
        <w:rPr>
          <w:rFonts w:ascii="Noto Serif" w:hAnsi="Noto Serif"/>
          <w:color w:val="202124"/>
          <w:sz w:val="20"/>
        </w:rPr>
        <w:t>Learning objective and authority class identified.</w:t>
      </w:r>
    </w:p>
    <w:p>
      <w:pPr>
        <w:pStyle w:val="ListBullet"/>
        <w:spacing w:after="30"/>
      </w:pPr>
      <w:r>
        <w:rPr>
          <w:rFonts w:ascii="Noto Serif" w:hAnsi="Noto Serif"/>
          <w:color w:val="202124"/>
          <w:sz w:val="20"/>
        </w:rPr>
        <w:t>Trainer and safety observer named.</w:t>
      </w:r>
    </w:p>
    <w:p>
      <w:pPr>
        <w:pStyle w:val="ListBullet"/>
        <w:spacing w:after="30"/>
      </w:pPr>
      <w:r>
        <w:rPr>
          <w:rFonts w:ascii="Noto Serif" w:hAnsi="Noto Serif"/>
          <w:color w:val="202124"/>
          <w:sz w:val="20"/>
        </w:rPr>
        <w:t>Approved procedure/learner sheet and version confirmed.</w:t>
      </w:r>
    </w:p>
    <w:p>
      <w:pPr>
        <w:pStyle w:val="ListBullet"/>
        <w:spacing w:after="30"/>
      </w:pPr>
      <w:r>
        <w:rPr>
          <w:rFonts w:ascii="Noto Serif" w:hAnsi="Noto Serif"/>
          <w:color w:val="202124"/>
          <w:sz w:val="20"/>
        </w:rPr>
        <w:t>Materials counted, labelled and age-appropriate.</w:t>
      </w:r>
    </w:p>
    <w:p>
      <w:pPr>
        <w:pStyle w:val="ListBullet"/>
        <w:spacing w:after="30"/>
      </w:pPr>
      <w:r>
        <w:rPr>
          <w:rFonts w:ascii="Noto Serif" w:hAnsi="Noto Serif"/>
          <w:color w:val="202124"/>
          <w:sz w:val="20"/>
        </w:rPr>
        <w:t>Space, sound, flame, food, allergy and tool risks reviewed.</w:t>
      </w:r>
    </w:p>
    <w:p>
      <w:pPr>
        <w:pStyle w:val="ListBullet"/>
        <w:spacing w:after="30"/>
      </w:pPr>
      <w:r>
        <w:rPr>
          <w:rFonts w:ascii="Noto Serif" w:hAnsi="Noto Serif"/>
          <w:color w:val="202124"/>
          <w:sz w:val="20"/>
        </w:rPr>
        <w:t>Demonstration rehearsed within time; assessment method and storage/reset owner assigned.</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15</w:t>
            </w:r>
          </w:p>
        </w:tc>
        <w:tc>
          <w:tcPr>
            <w:tcW w:type="dxa" w:w="9216"/>
            <w:shd w:fill="351A4A"/>
            <w:tcMar>
              <w:top w:w="140" w:type="dxa"/>
              <w:start w:w="120" w:type="dxa"/>
              <w:bottom w:w="140" w:type="dxa"/>
              <w:end w:w="120" w:type="dxa"/>
            </w:tcMar>
          </w:tcPr>
          <w:p>
            <w:r>
              <w:rPr>
                <w:rFonts w:ascii="Lato" w:hAnsi="Lato"/>
                <w:b/>
                <w:color w:val="FFFFFF"/>
                <w:sz w:val="30"/>
              </w:rPr>
              <w:t>COMPETENCY AND AUTHORISATION</w:t>
              <w:br/>
            </w:r>
            <w:r>
              <w:rPr>
                <w:rFonts w:ascii="Noto Serif" w:hAnsi="Noto Serif"/>
                <w:i/>
                <w:color w:val="EEE7F3"/>
                <w:sz w:val="17"/>
              </w:rPr>
              <w:t>Private progress, evidence and service-specific permissions</w:t>
            </w:r>
          </w:p>
        </w:tc>
      </w:tr>
    </w:tbl>
    <w:p>
      <w:pPr>
        <w:spacing w:after="0"/>
      </w:pPr>
    </w:p>
    <w:p>
      <w:pPr>
        <w:pStyle w:val="Heading1"/>
      </w:pPr>
      <w:bookmarkStart w:id="780113" w:name="sec_comp"/>
      <w:r>
        <w:t>15. Competency, Assessment and Authorisation</w:t>
      </w:r>
      <w:bookmarkEnd w:id="780113"/>
    </w:p>
    <w:p>
      <w:pPr>
        <w:pStyle w:val="Heading2"/>
      </w:pPr>
      <w:r>
        <w:t>15.1 Status Scale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Code</w:t>
            </w:r>
          </w:p>
        </w:tc>
        <w:tc>
          <w:tcPr>
            <w:tcW w:type="dxa" w:w="28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Meaning</w:t>
            </w:r>
          </w:p>
        </w:tc>
        <w:tc>
          <w:tcPr>
            <w:tcW w:type="dxa" w:w="6263"/>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Use</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NI</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Not introduced</w:t>
            </w:r>
          </w:p>
        </w:tc>
        <w:tc>
          <w:tcPr>
            <w:tcW w:type="dxa" w:w="626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No expectation yet.</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Demonstrated</w:t>
            </w:r>
          </w:p>
        </w:tc>
        <w:tc>
          <w:tcPr>
            <w:tcW w:type="dxa" w:w="626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Trainer has shown the skill.</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PS</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Practising with support</w:t>
            </w:r>
          </w:p>
        </w:tc>
        <w:tc>
          <w:tcPr>
            <w:tcW w:type="dxa" w:w="626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Participant may practise under supervision.</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Competent</w:t>
            </w:r>
          </w:p>
        </w:tc>
        <w:tc>
          <w:tcPr>
            <w:tcW w:type="dxa" w:w="626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Can perform the low-risk skill independently.</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Authorised</w:t>
            </w:r>
          </w:p>
        </w:tc>
        <w:tc>
          <w:tcPr>
            <w:tcW w:type="dxa" w:w="626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May perform a specified restricted service within recorded scope.</w:t>
            </w:r>
          </w:p>
        </w:tc>
      </w:tr>
      <w:tr>
        <w:trPr>
          <w:cantSplit/>
          <w:cantSplit/>
        </w:trPr>
        <w:tc>
          <w:tcPr>
            <w:tcW w:type="dxa" w:w="9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w:t>
            </w:r>
          </w:p>
        </w:tc>
        <w:tc>
          <w:tcPr>
            <w:tcW w:type="dxa" w:w="28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Trainer</w:t>
            </w:r>
          </w:p>
        </w:tc>
        <w:tc>
          <w:tcPr>
            <w:tcW w:type="dxa" w:w="626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May train and assess within appointment.</w:t>
            </w:r>
          </w:p>
        </w:tc>
      </w:tr>
      <w:tr>
        <w:trPr>
          <w:cantSplit/>
          <w:cantSplit/>
        </w:trPr>
        <w:tc>
          <w:tcPr>
            <w:tcW w:type="dxa" w:w="9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H</w:t>
            </w:r>
          </w:p>
        </w:tc>
        <w:tc>
          <w:tcPr>
            <w:tcW w:type="dxa" w:w="28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 hold</w:t>
            </w:r>
          </w:p>
        </w:tc>
        <w:tc>
          <w:tcPr>
            <w:tcW w:type="dxa" w:w="626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Paused for safety, reliability, retraining or review.</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4D2A6A"/>
            <w:tcMar>
              <w:top w:w="120" w:type="dxa"/>
              <w:start w:w="120" w:type="dxa"/>
              <w:bottom w:w="120" w:type="dxa"/>
              <w:end w:w="120" w:type="dxa"/>
            </w:tcMar>
            <w:tcBorders>
              <w:top w:val="single" w:sz="6" w:color="4D2A6A"/>
              <w:start w:val="single" w:sz="6" w:color="4D2A6A"/>
              <w:bottom w:val="single" w:sz="6" w:color="4D2A6A"/>
              <w:end w:val="single" w:sz="6" w:color="4D2A6A"/>
            </w:tcBorders>
          </w:tcPr>
          <w:p>
            <w:pPr>
              <w:jc w:val="center"/>
            </w:pPr>
            <w:r>
              <w:rPr>
                <w:rFonts w:ascii="Lato" w:hAnsi="Lato"/>
                <w:b/>
                <w:color w:val="FFFFFF"/>
                <w:sz w:val="16"/>
              </w:rPr>
              <w:t>BOUNDARY</w:t>
            </w:r>
          </w:p>
        </w:tc>
        <w:tc>
          <w:tcPr>
            <w:tcW w:type="dxa" w:w="8496"/>
            <w:shd w:fill="F3ECF7"/>
            <w:tcMar>
              <w:top w:w="120" w:type="dxa"/>
              <w:start w:w="120" w:type="dxa"/>
              <w:bottom w:w="120" w:type="dxa"/>
              <w:end w:w="120" w:type="dxa"/>
            </w:tcMar>
            <w:tcBorders>
              <w:top w:val="single" w:sz="6" w:color="4D2A6A"/>
              <w:start w:val="single" w:sz="6" w:color="4D2A6A"/>
              <w:bottom w:val="single" w:sz="6" w:color="4D2A6A"/>
              <w:end w:val="single" w:sz="6" w:color="4D2A6A"/>
            </w:tcBorders>
          </w:tcPr>
          <w:p>
            <w:r>
              <w:rPr>
                <w:rFonts w:ascii="Lato" w:hAnsi="Lato"/>
                <w:b/>
                <w:color w:val="4D2A6A"/>
                <w:sz w:val="20"/>
              </w:rPr>
              <w:t>Critical distinction</w:t>
              <w:br/>
            </w:r>
            <w:r>
              <w:rPr>
                <w:rFonts w:ascii="Noto Serif" w:hAnsi="Noto Serif"/>
                <w:color w:val="202124"/>
                <w:sz w:val="19"/>
              </w:rPr>
              <w:t>Competent does not mean authorised. A participant may understand and demonstrate ārati or food offering yet remain unauthorised to perform the shared-program service.</w:t>
            </w:r>
          </w:p>
        </w:tc>
      </w:tr>
    </w:tbl>
    <w:p>
      <w:pPr>
        <w:spacing w:after="0"/>
      </w:pPr>
    </w:p>
    <w:p>
      <w:pPr>
        <w:pStyle w:val="Heading2"/>
      </w:pPr>
      <w:r>
        <w:t>15.2 Family Competency Matrix</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Domain</w:t>
            </w:r>
          </w:p>
        </w:tc>
        <w:tc>
          <w:tcPr>
            <w:tcW w:type="dxa" w:w="64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Evidence</w:t>
            </w:r>
          </w:p>
        </w:tc>
        <w:tc>
          <w:tcPr>
            <w:tcW w:type="dxa" w:w="15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Required status</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Core prayer</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Recites Śrīla Prabhupāda praṇāma, Pañca-tattva and mahā-mantra clearly.</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Prasāda</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Knows approved prayers and meal etiquette.</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Kīrtana response</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Listens, begins together and maintains text/melody.</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Kartāla</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Maintains a basic pattern at safe volume.</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Japa</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Handles beads respectfully and practises attentive hearing.</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Home sacred space</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Maintains a clean, realistic practice area.</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Tulasī care</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Completes permitted care without crossing controlled boundaries.</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Bhoga handoff</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Receives, labels and separates food correctly.</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Formal group offering</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Performs approved procedure.</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 required</w:t>
            </w:r>
          </w:p>
        </w:tc>
      </w:tr>
      <w:tr>
        <w:trPr>
          <w:cantSplit/>
          <w:cantSplit/>
        </w:trPr>
        <w:tc>
          <w:tcPr>
            <w:tcW w:type="dxa" w:w="208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Ārati with flame</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Performs approved procedure safely.</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 required</w:t>
            </w:r>
          </w:p>
        </w:tc>
      </w:tr>
      <w:tr>
        <w:trPr>
          <w:cantSplit/>
          <w:cantSplit/>
        </w:trPr>
        <w:tc>
          <w:tcPr>
            <w:tcW w:type="dxa" w:w="208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Teach others</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Uses approved materials and correction method.</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 required</w:t>
            </w:r>
          </w:p>
        </w:tc>
      </w:tr>
    </w:tbl>
    <w:p>
      <w:pPr>
        <w:spacing w:after="0"/>
      </w:pPr>
    </w:p>
    <w:p>
      <w:pPr>
        <w:pStyle w:val="Heading2"/>
      </w:pPr>
      <w:r>
        <w:t>15.3 Assessment Rules</w:t>
      </w:r>
    </w:p>
    <w:p>
      <w:pPr>
        <w:pStyle w:val="ListBullet"/>
        <w:spacing w:after="30"/>
      </w:pPr>
      <w:r>
        <w:rPr>
          <w:rFonts w:ascii="Noto Serif" w:hAnsi="Noto Serif"/>
          <w:color w:val="202124"/>
          <w:sz w:val="20"/>
        </w:rPr>
        <w:t>Use direct observation and short explanation; avoid high-pressure performance.</w:t>
      </w:r>
    </w:p>
    <w:p>
      <w:pPr>
        <w:pStyle w:val="ListBullet"/>
        <w:spacing w:after="30"/>
      </w:pPr>
      <w:r>
        <w:rPr>
          <w:rFonts w:ascii="Noto Serif" w:hAnsi="Noto Serif"/>
          <w:color w:val="202124"/>
          <w:sz w:val="20"/>
        </w:rPr>
        <w:t>Assess the whole service: preparation, attitude, safety, procedure, cleanup and reliability.</w:t>
      </w:r>
    </w:p>
    <w:p>
      <w:pPr>
        <w:pStyle w:val="ListBullet"/>
        <w:spacing w:after="30"/>
      </w:pPr>
      <w:r>
        <w:rPr>
          <w:rFonts w:ascii="Noto Serif" w:hAnsi="Noto Serif"/>
          <w:color w:val="202124"/>
          <w:sz w:val="20"/>
        </w:rPr>
        <w:t>Do not assess spouses or close family for restricted authorisation without independent review.</w:t>
      </w:r>
    </w:p>
    <w:p>
      <w:pPr>
        <w:pStyle w:val="ListBullet"/>
        <w:spacing w:after="30"/>
      </w:pPr>
      <w:r>
        <w:rPr>
          <w:rFonts w:ascii="Noto Serif" w:hAnsi="Noto Serif"/>
          <w:color w:val="202124"/>
          <w:sz w:val="20"/>
        </w:rPr>
        <w:t>Record only what is operationally necessary; no public leaderboards or family scorecards.</w:t>
      </w:r>
    </w:p>
    <w:p>
      <w:pPr>
        <w:pStyle w:val="ListBullet"/>
        <w:spacing w:after="30"/>
      </w:pPr>
      <w:r>
        <w:rPr>
          <w:rFonts w:ascii="Noto Serif" w:hAnsi="Noto Serif"/>
          <w:color w:val="202124"/>
          <w:sz w:val="20"/>
        </w:rPr>
        <w:t>A missed step during learning leads to coaching, not humiliation.</w:t>
      </w:r>
    </w:p>
    <w:p>
      <w:pPr>
        <w:pStyle w:val="ListBullet"/>
        <w:spacing w:after="30"/>
      </w:pPr>
      <w:r>
        <w:rPr>
          <w:rFonts w:ascii="Noto Serif" w:hAnsi="Noto Serif"/>
          <w:color w:val="202124"/>
          <w:sz w:val="20"/>
        </w:rPr>
        <w:t>Authorisations carry scope, venue, service, approving authority and review date.</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16</w:t>
            </w:r>
          </w:p>
        </w:tc>
        <w:tc>
          <w:tcPr>
            <w:tcW w:type="dxa" w:w="9216"/>
            <w:shd w:fill="351A4A"/>
            <w:tcMar>
              <w:top w:w="140" w:type="dxa"/>
              <w:start w:w="120" w:type="dxa"/>
              <w:bottom w:w="140" w:type="dxa"/>
              <w:end w:w="120" w:type="dxa"/>
            </w:tcMar>
          </w:tcPr>
          <w:p>
            <w:r>
              <w:rPr>
                <w:rFonts w:ascii="Lato" w:hAnsi="Lato"/>
                <w:b/>
                <w:color w:val="FFFFFF"/>
                <w:sz w:val="30"/>
              </w:rPr>
              <w:t>SAFETY AND CLEANLINESS</w:t>
              <w:br/>
            </w:r>
            <w:r>
              <w:rPr>
                <w:rFonts w:ascii="Noto Serif" w:hAnsi="Noto Serif"/>
                <w:i/>
                <w:color w:val="EEE7F3"/>
                <w:sz w:val="17"/>
              </w:rPr>
              <w:t>Sound, flame, children, hygiene, tools and emergency stops</w:t>
            </w:r>
          </w:p>
        </w:tc>
      </w:tr>
    </w:tbl>
    <w:p>
      <w:pPr>
        <w:spacing w:after="0"/>
      </w:pPr>
    </w:p>
    <w:p>
      <w:pPr>
        <w:pStyle w:val="Heading1"/>
      </w:pPr>
      <w:bookmarkStart w:id="317153" w:name="sec_safety"/>
      <w:r>
        <w:t>16. Worship Safety and Cleanliness</w:t>
      </w:r>
      <w:bookmarkEnd w:id="317153"/>
    </w:p>
    <w:p>
      <w:pPr>
        <w:pStyle w:val="Heading2"/>
      </w:pPr>
      <w:r>
        <w:t>16.1 Sound Safety</w:t>
      </w:r>
    </w:p>
    <w:p>
      <w:pPr>
        <w:pStyle w:val="BodyText"/>
        <w:spacing w:after="80"/>
      </w:pPr>
      <w:r>
        <w:rPr>
          <w:rFonts w:ascii="Noto Serif" w:hAnsi="Noto Serif"/>
          <w:i w:val="0"/>
          <w:color w:val="202124"/>
          <w:sz w:val="20"/>
        </w:rPr>
        <w:t>GBC guidance calls for clear, sweet sound rather than painful loudness and encourages sound-level monitoring. NIOSH treats 85 dBA over eight hours as a hazardous occupational threshold; CDC guidance for children emphasises reducing loud music, limiting exposure and increasing distance. [R2][R11][R12]</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Control</w:t>
            </w:r>
          </w:p>
        </w:tc>
        <w:tc>
          <w:tcPr>
            <w:tcW w:type="dxa" w:w="81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KUTUMBA rule</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Target</w:t>
            </w:r>
          </w:p>
        </w:tc>
        <w:tc>
          <w:tcPr>
            <w:tcW w:type="dxa" w:w="81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Aim for approximately 75–80 dBA in the children’s area during amplified kīrtana.</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Reduction point</w:t>
            </w:r>
          </w:p>
        </w:tc>
        <w:tc>
          <w:tcPr>
            <w:tcW w:type="dxa" w:w="81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Reduce immediately if sound is sustained near/above 85 dBA, distorted, painful, or ordinary speech at arm’s length requires shouting.</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Placement</w:t>
            </w:r>
          </w:p>
        </w:tc>
        <w:tc>
          <w:tcPr>
            <w:tcW w:type="dxa" w:w="81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Never point a speaker directly at seated children or place them close to a monitor.</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Measurement</w:t>
            </w:r>
          </w:p>
        </w:tc>
        <w:tc>
          <w:tcPr>
            <w:tcW w:type="dxa" w:w="81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Use one designated meter/device at the children’s zone; record only exceptions/incidents, not every session.</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Sensitive participants</w:t>
            </w:r>
          </w:p>
        </w:tc>
        <w:tc>
          <w:tcPr>
            <w:tcW w:type="dxa" w:w="81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Offer distance, quiet seating or hearing protection without stigma.</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Authority</w:t>
            </w:r>
          </w:p>
        </w:tc>
        <w:tc>
          <w:tcPr>
            <w:tcW w:type="dxa" w:w="81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Safety Lead can lower or shut off amplification without debate.</w:t>
            </w:r>
          </w:p>
        </w:tc>
      </w:tr>
    </w:tbl>
    <w:p>
      <w:pPr>
        <w:spacing w:after="0"/>
      </w:pPr>
    </w:p>
    <w:p>
      <w:pPr>
        <w:pStyle w:val="Heading2"/>
      </w:pPr>
      <w:r>
        <w:t>16.2 Open-Flame Safety</w:t>
      </w:r>
    </w:p>
    <w:p>
      <w:pPr>
        <w:pStyle w:val="BodyText"/>
        <w:spacing w:after="80"/>
      </w:pPr>
      <w:r>
        <w:rPr>
          <w:rFonts w:ascii="Noto Serif" w:hAnsi="Noto Serif"/>
          <w:i w:val="0"/>
          <w:color w:val="202124"/>
          <w:sz w:val="20"/>
        </w:rPr>
        <w:t>NFPA religious-candle guidance stresses sturdy holders, continuous adult supervision near altars, keeping flames away from curtains and storing matches/lighters away from children. KUTUMBA adds stricter child and movement controls because ārati involves handheld flame. [R13]</w:t>
      </w:r>
    </w:p>
    <w:p>
      <w:pPr>
        <w:pStyle w:val="ListBullet"/>
        <w:spacing w:after="30"/>
      </w:pPr>
      <w:r>
        <w:rPr>
          <w:rFonts w:ascii="Noto Serif" w:hAnsi="Noto Serif"/>
          <w:color w:val="202124"/>
          <w:sz w:val="20"/>
        </w:rPr>
        <w:t>Obtain written or clearly documented venue permission and comply with local fire code and alarm/sprinkler rules.</w:t>
      </w:r>
    </w:p>
    <w:p>
      <w:pPr>
        <w:pStyle w:val="ListBullet"/>
        <w:spacing w:after="30"/>
      </w:pPr>
      <w:r>
        <w:rPr>
          <w:rFonts w:ascii="Noto Serif" w:hAnsi="Noto Serif"/>
          <w:color w:val="202124"/>
          <w:sz w:val="20"/>
        </w:rPr>
        <w:t>Only an authorised adult handles a lit ārati lamp; no passing a lit lamp from person to person.</w:t>
      </w:r>
    </w:p>
    <w:p>
      <w:pPr>
        <w:pStyle w:val="ListBullet"/>
        <w:spacing w:after="30"/>
      </w:pPr>
      <w:r>
        <w:rPr>
          <w:rFonts w:ascii="Noto Serif" w:hAnsi="Noto Serif"/>
          <w:color w:val="202124"/>
          <w:sz w:val="20"/>
        </w:rPr>
        <w:t>Maintain a clear flame zone with stable footing, secured hair/clothing and no dancing or children inside the zone.</w:t>
      </w:r>
    </w:p>
    <w:p>
      <w:pPr>
        <w:pStyle w:val="ListBullet"/>
        <w:spacing w:after="30"/>
      </w:pPr>
      <w:r>
        <w:rPr>
          <w:rFonts w:ascii="Noto Serif" w:hAnsi="Noto Serif"/>
          <w:color w:val="202124"/>
          <w:sz w:val="20"/>
        </w:rPr>
        <w:t>Place hot articles on a stable non-combustible tray at a named cooling location.</w:t>
      </w:r>
    </w:p>
    <w:p>
      <w:pPr>
        <w:pStyle w:val="ListBullet"/>
        <w:spacing w:after="30"/>
      </w:pPr>
      <w:r>
        <w:rPr>
          <w:rFonts w:ascii="Noto Serif" w:hAnsi="Noto Serif"/>
          <w:color w:val="202124"/>
          <w:sz w:val="20"/>
        </w:rPr>
        <w:t>Keep an appropriate extinguisher and smothering method accessible; a trained adult knows how to use them.</w:t>
      </w:r>
    </w:p>
    <w:p>
      <w:pPr>
        <w:pStyle w:val="ListBullet"/>
        <w:spacing w:after="30"/>
      </w:pPr>
      <w:r>
        <w:rPr>
          <w:rFonts w:ascii="Noto Serif" w:hAnsi="Noto Serif"/>
          <w:color w:val="202124"/>
          <w:sz w:val="20"/>
        </w:rPr>
        <w:t>Store matches and lighters locked or inaccessible to children.</w:t>
      </w:r>
    </w:p>
    <w:p>
      <w:pPr>
        <w:pStyle w:val="ListBullet"/>
        <w:spacing w:after="30"/>
      </w:pPr>
      <w:r>
        <w:rPr>
          <w:rFonts w:ascii="Noto Serif" w:hAnsi="Noto Serif"/>
          <w:color w:val="202124"/>
          <w:sz w:val="20"/>
        </w:rPr>
        <w:t>Any dropped lamp, burn, flare-up or unsafe crowd movement stops the service and triggers an incident review.</w:t>
      </w:r>
    </w:p>
    <w:p>
      <w:pPr>
        <w:pStyle w:val="ListBullet"/>
        <w:spacing w:after="30"/>
      </w:pPr>
      <w:r>
        <w:rPr>
          <w:rFonts w:ascii="Noto Serif" w:hAnsi="Noto Serif"/>
          <w:color w:val="202124"/>
          <w:sz w:val="20"/>
        </w:rPr>
        <w:t>Where flame is prohibited, do not improvise a ritual substitute. Use an approved non-flame program design or temple-based practical training.</w:t>
      </w:r>
    </w:p>
    <w:p>
      <w:pPr>
        <w:pStyle w:val="Heading2"/>
      </w:pPr>
      <w:r>
        <w:t>16.3 Cleanliness Standard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Area</w:t>
            </w:r>
          </w:p>
        </w:tc>
        <w:tc>
          <w:tcPr>
            <w:tcW w:type="dxa" w:w="55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Minimum standard</w:t>
            </w:r>
          </w:p>
        </w:tc>
        <w:tc>
          <w:tcPr>
            <w:tcW w:type="dxa" w:w="2951"/>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Stop condition</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Person</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Clean hands/clothing; wounds covered; hair controlled for food/flame service.</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Illness affecting food safety, uncovered wound or contamination.</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Worship area</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Shoes, bags, coats, food containers and clutter outside defined sacred area.</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Trip hazard, pest evidence or unclean surface.</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Articles</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Labelled, intact, clean and separately stored.</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Damage, unknown residue or missing required article.</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Food interface</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Offered/unoffered separation; dedicated plate/utensils; no tasting.</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Unclear status, allergen confusion or contamination.</w:t>
            </w:r>
          </w:p>
        </w:tc>
      </w:tr>
      <w:tr>
        <w:trPr>
          <w:cantSplit/>
          <w:cantSplit/>
        </w:trPr>
        <w:tc>
          <w:tcPr>
            <w:tcW w:type="dxa" w:w="158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Cloths</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Altar, instrument, food and floor cloths separated.</w:t>
            </w:r>
          </w:p>
        </w:tc>
        <w:tc>
          <w:tcPr>
            <w:tcW w:type="dxa" w:w="295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Cross-use or unknown cloth status.</w:t>
            </w:r>
          </w:p>
        </w:tc>
      </w:tr>
      <w:tr>
        <w:trPr>
          <w:cantSplit/>
          <w:cantSplit/>
        </w:trPr>
        <w:tc>
          <w:tcPr>
            <w:tcW w:type="dxa" w:w="158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Hands</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Wash after cleaning, plant/flower work and before food/worship handling.</w:t>
            </w:r>
          </w:p>
        </w:tc>
        <w:tc>
          <w:tcPr>
            <w:tcW w:type="dxa" w:w="295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accessible handwashing or approved alternative.</w:t>
            </w:r>
          </w:p>
        </w:tc>
      </w:tr>
    </w:tbl>
    <w:p>
      <w:pPr>
        <w:spacing w:after="0"/>
      </w:pPr>
    </w:p>
    <w:p>
      <w:pPr>
        <w:pStyle w:val="Heading2"/>
        <w:keepNext/>
      </w:pPr>
      <w:r>
        <w:t>16.4 Risk Register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5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keepNext/>
              <w:jc w:val="center"/>
            </w:pPr>
            <w:r>
              <w:rPr>
                <w:rFonts w:ascii="Lato" w:hAnsi="Lato"/>
                <w:b/>
                <w:color w:val="FFFFFF"/>
                <w:sz w:val="15"/>
              </w:rPr>
              <w:t>Risk</w:t>
            </w:r>
          </w:p>
        </w:tc>
        <w:tc>
          <w:tcPr>
            <w:tcW w:type="dxa" w:w="165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keepNext/>
              <w:jc w:val="center"/>
            </w:pPr>
            <w:r>
              <w:rPr>
                <w:rFonts w:ascii="Lato" w:hAnsi="Lato"/>
                <w:b/>
                <w:color w:val="FFFFFF"/>
                <w:sz w:val="15"/>
              </w:rPr>
              <w:t>Impact</w:t>
            </w:r>
          </w:p>
        </w:tc>
        <w:tc>
          <w:tcPr>
            <w:tcW w:type="dxa" w:w="32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keepNext/>
              <w:jc w:val="center"/>
            </w:pPr>
            <w:r>
              <w:rPr>
                <w:rFonts w:ascii="Lato" w:hAnsi="Lato"/>
                <w:b/>
                <w:color w:val="FFFFFF"/>
                <w:sz w:val="15"/>
              </w:rPr>
              <w:t>Primary controls</w:t>
            </w:r>
          </w:p>
        </w:tc>
        <w:tc>
          <w:tcPr>
            <w:tcW w:type="dxa" w:w="15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keepNext/>
              <w:jc w:val="center"/>
            </w:pPr>
            <w:r>
              <w:rPr>
                <w:rFonts w:ascii="Lato" w:hAnsi="Lato"/>
                <w:b/>
                <w:color w:val="FFFFFF"/>
                <w:sz w:val="15"/>
              </w:rPr>
              <w:t>Owner</w:t>
            </w:r>
          </w:p>
        </w:tc>
        <w:tc>
          <w:tcPr>
            <w:tcW w:type="dxa" w:w="216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keepNext/>
              <w:jc w:val="center"/>
            </w:pPr>
            <w:r>
              <w:rPr>
                <w:rFonts w:ascii="Lato" w:hAnsi="Lato"/>
                <w:b/>
                <w:color w:val="FFFFFF"/>
                <w:sz w:val="15"/>
              </w:rPr>
              <w:t>Stop trigger</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Excessive sound</w:t>
            </w:r>
          </w:p>
        </w:tc>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Hearing discomfort/injury</w:t>
            </w:r>
          </w:p>
        </w:tc>
        <w:tc>
          <w:tcPr>
            <w:tcW w:type="dxa" w:w="32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Meter, speaker placement, conservative target</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Safety Lead</w:t>
            </w:r>
          </w:p>
        </w:tc>
        <w:tc>
          <w:tcPr>
            <w:tcW w:type="dxa" w:w="216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Pain, distortion, &gt;85 dBA sustained</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Open flame</w:t>
            </w:r>
          </w:p>
        </w:tc>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Burn/fire</w:t>
            </w:r>
          </w:p>
        </w:tc>
        <w:tc>
          <w:tcPr>
            <w:tcW w:type="dxa" w:w="32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Authorised adult, clear zone, venue permission</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Safety Lead</w:t>
            </w:r>
          </w:p>
        </w:tc>
        <w:tc>
          <w:tcPr>
            <w:tcW w:type="dxa" w:w="216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Dropped lamp, child entry, unstable surface</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Hot paraphernalia</w:t>
            </w:r>
          </w:p>
        </w:tc>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Burn</w:t>
            </w:r>
          </w:p>
        </w:tc>
        <w:tc>
          <w:tcPr>
            <w:tcW w:type="dxa" w:w="32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Cooling station and adult-only handling</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Worship Lead</w:t>
            </w:r>
          </w:p>
        </w:tc>
        <w:tc>
          <w:tcPr>
            <w:tcW w:type="dxa" w:w="216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No safe placement</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Crowded dancing</w:t>
            </w:r>
          </w:p>
        </w:tc>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Collision/fall</w:t>
            </w:r>
          </w:p>
        </w:tc>
        <w:tc>
          <w:tcPr>
            <w:tcW w:type="dxa" w:w="32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Defined movement area and child supervision</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Welcome/Safety</w:t>
            </w:r>
          </w:p>
        </w:tc>
        <w:tc>
          <w:tcPr>
            <w:tcW w:type="dxa" w:w="216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Running, blocked exits</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Instrument misuse</w:t>
            </w:r>
          </w:p>
        </w:tc>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Injury/damage</w:t>
            </w:r>
          </w:p>
        </w:tc>
        <w:tc>
          <w:tcPr>
            <w:tcW w:type="dxa" w:w="32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Controlled distribution and storage</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Instrument Trainer</w:t>
            </w:r>
          </w:p>
        </w:tc>
        <w:tc>
          <w:tcPr>
            <w:tcW w:type="dxa" w:w="216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Swinging, sharp/damaged item</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Tools in sevā lab</w:t>
            </w:r>
          </w:p>
        </w:tc>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Cut/puncture</w:t>
            </w:r>
          </w:p>
        </w:tc>
        <w:tc>
          <w:tcPr>
            <w:tcW w:type="dxa" w:w="32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Age controls and direct supervision</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Lab Trainer</w:t>
            </w:r>
          </w:p>
        </w:tc>
        <w:tc>
          <w:tcPr>
            <w:tcW w:type="dxa" w:w="216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Unsupervised needle/scissors</w:t>
            </w:r>
          </w:p>
        </w:tc>
      </w:tr>
      <w:tr>
        <w:trPr>
          <w:cantSplit/>
          <w:cantSplit/>
        </w:trPr>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Allergy/plant exposure</w:t>
            </w:r>
          </w:p>
        </w:tc>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Reaction</w:t>
            </w:r>
          </w:p>
        </w:tc>
        <w:tc>
          <w:tcPr>
            <w:tcW w:type="dxa" w:w="32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Forms, labels, gloves/alternatives where needed</w:t>
            </w:r>
          </w:p>
        </w:tc>
        <w:tc>
          <w:tcPr>
            <w:tcW w:type="dxa" w:w="15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Safety/Operations</w:t>
            </w:r>
          </w:p>
        </w:tc>
        <w:tc>
          <w:tcPr>
            <w:tcW w:type="dxa" w:w="216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pPr>
            <w:r>
              <w:rPr>
                <w:rFonts w:ascii="Noto Serif" w:hAnsi="Noto Serif"/>
                <w:color w:val="202124"/>
                <w:sz w:val="15"/>
              </w:rPr>
              <w:t>Symptoms or unknown material</w:t>
            </w:r>
          </w:p>
        </w:tc>
      </w:tr>
      <w:tr>
        <w:trPr>
          <w:cantSplit/>
          <w:cantSplit/>
        </w:trPr>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val="0"/>
            </w:pPr>
            <w:r>
              <w:rPr>
                <w:rFonts w:ascii="Noto Serif" w:hAnsi="Noto Serif"/>
                <w:color w:val="202124"/>
                <w:sz w:val="15"/>
              </w:rPr>
              <w:t>Unapproved procedure</w:t>
            </w:r>
          </w:p>
        </w:tc>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val="0"/>
            </w:pPr>
            <w:r>
              <w:rPr>
                <w:rFonts w:ascii="Noto Serif" w:hAnsi="Noto Serif"/>
                <w:color w:val="202124"/>
                <w:sz w:val="15"/>
              </w:rPr>
              <w:t>Spiritual/operational error</w:t>
            </w:r>
          </w:p>
        </w:tc>
        <w:tc>
          <w:tcPr>
            <w:tcW w:type="dxa" w:w="32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val="0"/>
            </w:pPr>
            <w:r>
              <w:rPr>
                <w:rFonts w:ascii="Noto Serif" w:hAnsi="Noto Serif"/>
                <w:color w:val="202124"/>
                <w:sz w:val="15"/>
              </w:rPr>
              <w:t>Controlled documents and stop authority</w:t>
            </w:r>
          </w:p>
        </w:tc>
        <w:tc>
          <w:tcPr>
            <w:tcW w:type="dxa" w:w="15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val="0"/>
            </w:pPr>
            <w:r>
              <w:rPr>
                <w:rFonts w:ascii="Noto Serif" w:hAnsi="Noto Serif"/>
                <w:color w:val="202124"/>
                <w:sz w:val="15"/>
              </w:rPr>
              <w:t>Worship Lead</w:t>
            </w:r>
          </w:p>
        </w:tc>
        <w:tc>
          <w:tcPr>
            <w:tcW w:type="dxa" w:w="216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pPr>
              <w:keepNext w:val="0"/>
            </w:pPr>
            <w:r>
              <w:rPr>
                <w:rFonts w:ascii="Noto Serif" w:hAnsi="Noto Serif"/>
                <w:color w:val="202124"/>
                <w:sz w:val="15"/>
              </w:rPr>
              <w:t>Procedure or text cannot be verified</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17</w:t>
            </w:r>
          </w:p>
        </w:tc>
        <w:tc>
          <w:tcPr>
            <w:tcW w:type="dxa" w:w="9216"/>
            <w:shd w:fill="351A4A"/>
            <w:tcMar>
              <w:top w:w="140" w:type="dxa"/>
              <w:start w:w="120" w:type="dxa"/>
              <w:bottom w:w="140" w:type="dxa"/>
              <w:end w:w="120" w:type="dxa"/>
            </w:tcMar>
          </w:tcPr>
          <w:p>
            <w:r>
              <w:rPr>
                <w:rFonts w:ascii="Lato" w:hAnsi="Lato"/>
                <w:b/>
                <w:color w:val="FFFFFF"/>
                <w:sz w:val="30"/>
              </w:rPr>
              <w:t>OPERATIONS AND RECORDS</w:t>
              <w:br/>
            </w:r>
            <w:r>
              <w:rPr>
                <w:rFonts w:ascii="Noto Serif" w:hAnsi="Noto Serif"/>
                <w:i/>
                <w:color w:val="EEE7F3"/>
                <w:sz w:val="17"/>
              </w:rPr>
              <w:t>Equipment, setup, storage, audio and controlled documentation</w:t>
            </w:r>
          </w:p>
        </w:tc>
      </w:tr>
    </w:tbl>
    <w:p>
      <w:pPr>
        <w:spacing w:after="0"/>
      </w:pPr>
    </w:p>
    <w:p>
      <w:pPr>
        <w:pStyle w:val="Heading1"/>
      </w:pPr>
      <w:bookmarkStart w:id="400534" w:name="sec_ops"/>
      <w:r>
        <w:t>17. Operations, Equipment and Records</w:t>
      </w:r>
      <w:bookmarkEnd w:id="400534"/>
    </w:p>
    <w:p>
      <w:pPr>
        <w:pStyle w:val="Heading2"/>
      </w:pPr>
      <w:r>
        <w:t>17.1 Minimum Launch Inventory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Category</w:t>
            </w:r>
          </w:p>
        </w:tc>
        <w:tc>
          <w:tcPr>
            <w:tcW w:type="dxa" w:w="46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Minimum</w:t>
            </w:r>
          </w:p>
        </w:tc>
        <w:tc>
          <w:tcPr>
            <w:tcW w:type="dxa" w:w="3671"/>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Control</w:t>
            </w:r>
          </w:p>
        </w:tc>
      </w:tr>
      <w:tr>
        <w:trPr>
          <w:cantSplit/>
          <w:cantSplit/>
        </w:trPr>
        <w:tc>
          <w:tcPr>
            <w:tcW w:type="dxa" w:w="17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Audio</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 main microphone, stand, modest speaker/amp, cables, sound meter app/device.</w:t>
            </w:r>
          </w:p>
        </w:tc>
        <w:tc>
          <w:tcPr>
            <w:tcW w:type="dxa" w:w="367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Volume cap and named operator.</w:t>
            </w:r>
          </w:p>
        </w:tc>
      </w:tr>
      <w:tr>
        <w:trPr>
          <w:cantSplit/>
          <w:cantSplit/>
        </w:trPr>
        <w:tc>
          <w:tcPr>
            <w:tcW w:type="dxa" w:w="17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Kīrtana</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2–3 kartāla sets, 1–2 mṛdaṅgas, instrument cloths/bags.</w:t>
            </w:r>
          </w:p>
        </w:tc>
        <w:tc>
          <w:tcPr>
            <w:tcW w:type="dxa" w:w="367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Numbered inventory and trainer release.</w:t>
            </w:r>
          </w:p>
        </w:tc>
      </w:tr>
      <w:tr>
        <w:trPr>
          <w:cantSplit/>
          <w:cantSplit/>
        </w:trPr>
        <w:tc>
          <w:tcPr>
            <w:tcW w:type="dxa" w:w="17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Prayer learning</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Laminated approved core sheet, large-print copy, child cue cards.</w:t>
            </w:r>
          </w:p>
        </w:tc>
        <w:tc>
          <w:tcPr>
            <w:tcW w:type="dxa" w:w="367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Version and canon ID printed.</w:t>
            </w:r>
          </w:p>
        </w:tc>
      </w:tr>
      <w:tr>
        <w:trPr>
          <w:cantSplit/>
          <w:cantSplit/>
        </w:trPr>
        <w:tc>
          <w:tcPr>
            <w:tcW w:type="dxa" w:w="17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Japa</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Demonstration beads/bag; no shared personal beads where hygiene is a concern.</w:t>
            </w:r>
          </w:p>
        </w:tc>
        <w:tc>
          <w:tcPr>
            <w:tcW w:type="dxa" w:w="367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Trainer-managed.</w:t>
            </w:r>
          </w:p>
        </w:tc>
      </w:tr>
      <w:tr>
        <w:trPr>
          <w:cantSplit/>
          <w:cantSplit/>
        </w:trPr>
        <w:tc>
          <w:tcPr>
            <w:tcW w:type="dxa" w:w="17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Sevā labs</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Dedicated trays, cloths, flower/garland materials, safe scissors/needles, labels.</w:t>
            </w:r>
          </w:p>
        </w:tc>
        <w:tc>
          <w:tcPr>
            <w:tcW w:type="dxa" w:w="367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Age and tool controls.</w:t>
            </w:r>
          </w:p>
        </w:tc>
      </w:tr>
      <w:tr>
        <w:trPr>
          <w:cantSplit/>
          <w:cantSplit/>
        </w:trPr>
        <w:tc>
          <w:tcPr>
            <w:tcW w:type="dxa" w:w="172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Safety</w:t>
            </w:r>
          </w:p>
        </w:tc>
        <w:tc>
          <w:tcPr>
            <w:tcW w:type="dxa" w:w="46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First-aid kit, extinguisher where required, non-combustible tray, cable covers.</w:t>
            </w:r>
          </w:p>
        </w:tc>
        <w:tc>
          <w:tcPr>
            <w:tcW w:type="dxa" w:w="3671"/>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Pre-session check.</w:t>
            </w:r>
          </w:p>
        </w:tc>
      </w:tr>
      <w:tr>
        <w:trPr>
          <w:cantSplit/>
          <w:cantSplit/>
        </w:trPr>
        <w:tc>
          <w:tcPr>
            <w:tcW w:type="dxa" w:w="172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Storage</w:t>
            </w:r>
          </w:p>
        </w:tc>
        <w:tc>
          <w:tcPr>
            <w:tcW w:type="dxa" w:w="46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Labelled bins: audio, instruments, prayer sheets, worship articles, cleaning.</w:t>
            </w:r>
          </w:p>
        </w:tc>
        <w:tc>
          <w:tcPr>
            <w:tcW w:type="dxa" w:w="3671"/>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Separate sacred and general materials.</w:t>
            </w:r>
          </w:p>
        </w:tc>
      </w:tr>
    </w:tbl>
    <w:p>
      <w:pPr>
        <w:spacing w:after="0"/>
      </w:pPr>
    </w:p>
    <w:p>
      <w:pPr>
        <w:pStyle w:val="Heading2"/>
      </w:pPr>
      <w:r>
        <w:t>17.2 Setup and Teardown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Before program</w:t>
            </w:r>
          </w:p>
        </w:tc>
        <w:tc>
          <w:tcPr>
            <w:tcW w:type="dxa" w:w="50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After program</w:t>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Confirm approved order, leader, assistant, safety lead and any authorised worship servant.</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Count instruments, microphones, prayer sheets and worship articles.</w:t>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Test sound at children’s seating position.</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Power down, coil cables safely and report damage.</w:t>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Define shoe, coat, instrument, movement and restricted worship zones.</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Clean approved surfaces and segregate cloths for laundering.</w:t>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Check exits, trip hazards, flame permission and cooling location.</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Confirm flame/hot articles extinguished and cold before storage.</w:t>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Place current approved prayer sheet; remove old copies.</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Record incident, near miss, missing item or procedural question.</w:t>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Brief children’s team on transitions and sensory accommodations.</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Lock tools, matches/lighters and restricted articles.</w:t>
            </w:r>
          </w:p>
        </w:tc>
      </w:tr>
    </w:tbl>
    <w:p>
      <w:pPr>
        <w:spacing w:after="0"/>
      </w:pPr>
    </w:p>
    <w:p>
      <w:pPr>
        <w:pStyle w:val="Heading2"/>
      </w:pPr>
      <w:r>
        <w:t>17.3 Audio and Copyright Control</w:t>
      </w:r>
    </w:p>
    <w:p>
      <w:pPr>
        <w:pStyle w:val="ListBullet"/>
        <w:spacing w:after="30"/>
      </w:pPr>
      <w:r>
        <w:rPr>
          <w:rFonts w:ascii="Noto Serif" w:hAnsi="Noto Serif"/>
          <w:color w:val="202124"/>
          <w:sz w:val="20"/>
        </w:rPr>
        <w:t>The canon register stores links and metadata; it does not copy copyrighted recordings without permission.</w:t>
      </w:r>
    </w:p>
    <w:p>
      <w:pPr>
        <w:pStyle w:val="ListBullet"/>
        <w:spacing w:after="30"/>
      </w:pPr>
      <w:r>
        <w:rPr>
          <w:rFonts w:ascii="Noto Serif" w:hAnsi="Noto Serif"/>
          <w:color w:val="202124"/>
          <w:sz w:val="20"/>
        </w:rPr>
        <w:t>One slow pronunciation reference and one standard lead-and-response reference are approved for each item.</w:t>
      </w:r>
    </w:p>
    <w:p>
      <w:pPr>
        <w:pStyle w:val="ListBullet"/>
        <w:spacing w:after="30"/>
      </w:pPr>
      <w:r>
        <w:rPr>
          <w:rFonts w:ascii="Noto Serif" w:hAnsi="Noto Serif"/>
          <w:color w:val="202124"/>
          <w:sz w:val="20"/>
        </w:rPr>
        <w:t>Random social-media recordings are not teaching masters.</w:t>
      </w:r>
    </w:p>
    <w:p>
      <w:pPr>
        <w:pStyle w:val="ListBullet"/>
        <w:spacing w:after="30"/>
      </w:pPr>
      <w:r>
        <w:rPr>
          <w:rFonts w:ascii="Noto Serif" w:hAnsi="Noto Serif"/>
          <w:color w:val="202124"/>
          <w:sz w:val="20"/>
        </w:rPr>
        <w:t>Do not publish children’s practice recordings without consent and the project’s media policy.</w:t>
      </w:r>
    </w:p>
    <w:p>
      <w:pPr>
        <w:pStyle w:val="ListBullet"/>
        <w:spacing w:after="30"/>
      </w:pPr>
      <w:r>
        <w:rPr>
          <w:rFonts w:ascii="Noto Serif" w:hAnsi="Noto Serif"/>
          <w:color w:val="202124"/>
          <w:sz w:val="20"/>
        </w:rPr>
        <w:t>Lyrics and translations are attributed; longer copyrighted translations are linked rather than reproduced wholesale.</w:t>
      </w:r>
    </w:p>
    <w:p>
      <w:pPr>
        <w:pStyle w:val="ListBullet"/>
        <w:spacing w:after="30"/>
      </w:pPr>
      <w:r>
        <w:rPr>
          <w:rFonts w:ascii="Noto Serif" w:hAnsi="Noto Serif"/>
          <w:color w:val="202124"/>
          <w:sz w:val="20"/>
        </w:rPr>
        <w:t>Gamma, slides or family handouts consume approved content; they never become the source of truth.</w:t>
      </w:r>
    </w:p>
    <w:p>
      <w:pPr>
        <w:pStyle w:val="Heading2"/>
      </w:pPr>
      <w:r>
        <w:t>17.4 Required Registers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Register</w:t>
            </w:r>
          </w:p>
        </w:tc>
        <w:tc>
          <w:tcPr>
            <w:tcW w:type="dxa" w:w="55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Contents</w:t>
            </w:r>
          </w:p>
        </w:tc>
        <w:tc>
          <w:tcPr>
            <w:tcW w:type="dxa" w:w="259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Privacy</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Canon register</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Text, author, source, audio, occasion, reviewer and version.</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Internal; publish approved learner subset.</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Trainer register</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Domain, scope, appointment and review date.</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Internal.</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Authorisation register</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Person, restricted service, venue/scope, approver and expiry.</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Restricted access.</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Equipment register</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ID, owner, condition, storage and maintenance.</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Operational.</w:t>
            </w:r>
          </w:p>
        </w:tc>
      </w:tr>
      <w:tr>
        <w:trPr>
          <w:cantSplit/>
          <w:cantSplit/>
        </w:trPr>
        <w:tc>
          <w:tcPr>
            <w:tcW w:type="dxa" w:w="19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Incident/near-miss log</w:t>
            </w:r>
          </w:p>
        </w:tc>
        <w:tc>
          <w:tcPr>
            <w:tcW w:type="dxa" w:w="55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Date, facts, immediate action, follow-up and closure.</w:t>
            </w:r>
          </w:p>
        </w:tc>
        <w:tc>
          <w:tcPr>
            <w:tcW w:type="dxa" w:w="259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Restricted; no unnecessary child/medical detail in Git.</w:t>
            </w:r>
          </w:p>
        </w:tc>
      </w:tr>
      <w:tr>
        <w:trPr>
          <w:cantSplit/>
          <w:cantSplit/>
        </w:trPr>
        <w:tc>
          <w:tcPr>
            <w:tcW w:type="dxa" w:w="19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progress</w:t>
            </w:r>
          </w:p>
        </w:tc>
        <w:tc>
          <w:tcPr>
            <w:tcW w:type="dxa" w:w="55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Only agreed competencies and support needs.</w:t>
            </w:r>
          </w:p>
        </w:tc>
        <w:tc>
          <w:tcPr>
            <w:tcW w:type="dxa" w:w="259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Private; not stored in public repository.</w:t>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18</w:t>
            </w:r>
          </w:p>
        </w:tc>
        <w:tc>
          <w:tcPr>
            <w:tcW w:type="dxa" w:w="9216"/>
            <w:shd w:fill="351A4A"/>
            <w:tcMar>
              <w:top w:w="140" w:type="dxa"/>
              <w:start w:w="120" w:type="dxa"/>
              <w:bottom w:w="140" w:type="dxa"/>
              <w:end w:w="120" w:type="dxa"/>
            </w:tcMar>
          </w:tcPr>
          <w:p>
            <w:r>
              <w:rPr>
                <w:rFonts w:ascii="Lato" w:hAnsi="Lato"/>
                <w:b/>
                <w:color w:val="FFFFFF"/>
                <w:sz w:val="30"/>
              </w:rPr>
              <w:t>NEWCOMERS AND INCLUSION</w:t>
              <w:br/>
            </w:r>
            <w:r>
              <w:rPr>
                <w:rFonts w:ascii="Noto Serif" w:hAnsi="Noto Serif"/>
                <w:i/>
                <w:color w:val="EEE7F3"/>
                <w:sz w:val="17"/>
              </w:rPr>
              <w:t>KUTUMBA Setu, accessibility and non-coercive participation</w:t>
            </w:r>
          </w:p>
        </w:tc>
      </w:tr>
    </w:tbl>
    <w:p>
      <w:pPr>
        <w:spacing w:after="0"/>
      </w:pPr>
    </w:p>
    <w:p>
      <w:pPr>
        <w:pStyle w:val="Heading1"/>
      </w:pPr>
      <w:bookmarkStart w:id="167293" w:name="sec_new"/>
      <w:r>
        <w:t>18. Newcomers and Inclusive Participation</w:t>
      </w:r>
      <w:bookmarkEnd w:id="167293"/>
    </w:p>
    <w:p>
      <w:pPr>
        <w:pStyle w:val="Heading2"/>
      </w:pPr>
      <w:r>
        <w:t>18.1 KUTUMBA Setu — Practice Bridge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5"/>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Setu step</w:t>
            </w:r>
          </w:p>
        </w:tc>
        <w:tc>
          <w:tcPr>
            <w:tcW w:type="dxa" w:w="604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Content</w:t>
            </w:r>
          </w:p>
        </w:tc>
        <w:tc>
          <w:tcPr>
            <w:tcW w:type="dxa" w:w="237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Completion</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1 Orientation</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Why KUTUMBA uses a controlled canon; Friday flow; worship and safety boundaries.</w:t>
            </w:r>
          </w:p>
        </w:tc>
        <w:tc>
          <w:tcPr>
            <w:tcW w:type="dxa" w:w="237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Can describe what is participatory and what is restricted.</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2 Core sound</w:t>
            </w:r>
          </w:p>
        </w:tc>
        <w:tc>
          <w:tcPr>
            <w:tcW w:type="dxa" w:w="60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Śrīla Prabhupāda praṇāma, Pañca-tattva and mahā-mantra.</w:t>
            </w:r>
          </w:p>
        </w:tc>
        <w:tc>
          <w:tcPr>
            <w:tcW w:type="dxa" w:w="237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Can follow the sheet and response.</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3 Culture</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Prasāda prayer, altar/kīrtana etiquette, instrument respect and no-comparison rule.</w:t>
            </w:r>
          </w:p>
        </w:tc>
        <w:tc>
          <w:tcPr>
            <w:tcW w:type="dxa" w:w="237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Mentor observation.</w:t>
            </w:r>
          </w:p>
        </w:tc>
      </w:tr>
      <w:tr>
        <w:trPr>
          <w:cantSplit/>
          <w:cantSplit/>
        </w:trPr>
        <w:tc>
          <w:tcPr>
            <w:tcW w:type="dxa" w:w="1655"/>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4 Home practice</w:t>
            </w:r>
          </w:p>
        </w:tc>
        <w:tc>
          <w:tcPr>
            <w:tcW w:type="dxa" w:w="604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One small chanting/reading/offering step and one question for trainer.</w:t>
            </w:r>
          </w:p>
        </w:tc>
        <w:tc>
          <w:tcPr>
            <w:tcW w:type="dxa" w:w="237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Family selects realistic commitment.</w:t>
            </w:r>
          </w:p>
        </w:tc>
      </w:tr>
      <w:tr>
        <w:trPr>
          <w:cantSplit/>
          <w:cantSplit/>
        </w:trPr>
        <w:tc>
          <w:tcPr>
            <w:tcW w:type="dxa" w:w="1655"/>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5 Entry</w:t>
            </w:r>
          </w:p>
        </w:tc>
        <w:tc>
          <w:tcPr>
            <w:tcW w:type="dxa" w:w="604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Attend at next cycle boundary with mentor support.</w:t>
            </w:r>
          </w:p>
        </w:tc>
        <w:tc>
          <w:tcPr>
            <w:tcW w:type="dxa" w:w="237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unresolved safety or conduct concern.</w:t>
            </w:r>
          </w:p>
        </w:tc>
      </w:tr>
    </w:tbl>
    <w:p>
      <w:pPr>
        <w:spacing w:after="0"/>
      </w:pPr>
    </w:p>
    <w:p>
      <w:pPr>
        <w:pStyle w:val="Heading2"/>
      </w:pPr>
      <w:r>
        <w:t>18.2 Accessibility Rules</w:t>
      </w:r>
    </w:p>
    <w:p>
      <w:pPr>
        <w:pStyle w:val="ListBullet"/>
        <w:spacing w:after="30"/>
      </w:pPr>
      <w:r>
        <w:rPr>
          <w:rFonts w:ascii="Noto Serif" w:hAnsi="Noto Serif"/>
          <w:color w:val="202124"/>
          <w:sz w:val="20"/>
        </w:rPr>
        <w:t>Provide large-print sheets and high-contrast projection where used.</w:t>
      </w:r>
    </w:p>
    <w:p>
      <w:pPr>
        <w:pStyle w:val="ListBullet"/>
        <w:spacing w:after="30"/>
      </w:pPr>
      <w:r>
        <w:rPr>
          <w:rFonts w:ascii="Noto Serif" w:hAnsi="Noto Serif"/>
          <w:color w:val="202124"/>
          <w:sz w:val="20"/>
        </w:rPr>
        <w:t>Offer chairs, seated participation and clear movement lanes; standing or bowing is not coerced.</w:t>
      </w:r>
    </w:p>
    <w:p>
      <w:pPr>
        <w:pStyle w:val="ListBullet"/>
        <w:spacing w:after="30"/>
      </w:pPr>
      <w:r>
        <w:rPr>
          <w:rFonts w:ascii="Noto Serif" w:hAnsi="Noto Serif"/>
          <w:color w:val="202124"/>
          <w:sz w:val="20"/>
        </w:rPr>
        <w:t>Offer a lower-sound seating area and allow sensory breaks without interpreting them as disrespect.</w:t>
      </w:r>
    </w:p>
    <w:p>
      <w:pPr>
        <w:pStyle w:val="ListBullet"/>
        <w:spacing w:after="30"/>
      </w:pPr>
      <w:r>
        <w:rPr>
          <w:rFonts w:ascii="Noto Serif" w:hAnsi="Noto Serif"/>
          <w:color w:val="202124"/>
          <w:sz w:val="20"/>
        </w:rPr>
        <w:t>Explain Sanskrit/Bengali words in plain English; pronunciation correction is private and kind.</w:t>
      </w:r>
    </w:p>
    <w:p>
      <w:pPr>
        <w:pStyle w:val="ListBullet"/>
        <w:spacing w:after="30"/>
      </w:pPr>
      <w:r>
        <w:rPr>
          <w:rFonts w:ascii="Noto Serif" w:hAnsi="Noto Serif"/>
          <w:color w:val="202124"/>
          <w:sz w:val="20"/>
        </w:rPr>
        <w:t>Participants may listen before singing or decline an instrument role.</w:t>
      </w:r>
    </w:p>
    <w:p>
      <w:pPr>
        <w:pStyle w:val="ListBullet"/>
        <w:spacing w:after="30"/>
      </w:pPr>
      <w:r>
        <w:rPr>
          <w:rFonts w:ascii="Noto Serif" w:hAnsi="Noto Serif"/>
          <w:color w:val="202124"/>
          <w:sz w:val="20"/>
        </w:rPr>
        <w:t>Parents remain responsible for children; teen helpers do not become safety supervisors.</w:t>
      </w:r>
    </w:p>
    <w:p>
      <w:pPr>
        <w:pStyle w:val="ListBullet"/>
        <w:spacing w:after="30"/>
      </w:pPr>
      <w:r>
        <w:rPr>
          <w:rFonts w:ascii="Noto Serif" w:hAnsi="Noto Serif"/>
          <w:color w:val="202124"/>
          <w:sz w:val="20"/>
        </w:rPr>
        <w:t>Medical, pregnancy, disability and age needs override public expectations around fasting, floor sitting or prolonged standing.</w:t>
      </w:r>
    </w:p>
    <w:p>
      <w:pPr>
        <w:pStyle w:val="Heading2"/>
      </w:pPr>
      <w:r>
        <w:t>18.3 Non-Coercion and Spiritual Boundaries</w:t>
      </w:r>
    </w:p>
    <w:p>
      <w:pPr>
        <w:pStyle w:val="ListBullet"/>
        <w:spacing w:after="30"/>
      </w:pPr>
      <w:r>
        <w:rPr>
          <w:rFonts w:ascii="Noto Serif" w:hAnsi="Noto Serif"/>
          <w:color w:val="202124"/>
          <w:sz w:val="20"/>
        </w:rPr>
        <w:t>No public demand to disclose rounds, initiation plans, home altar details or family weaknesses.</w:t>
      </w:r>
    </w:p>
    <w:p>
      <w:pPr>
        <w:pStyle w:val="ListBullet"/>
        <w:spacing w:after="30"/>
      </w:pPr>
      <w:r>
        <w:rPr>
          <w:rFonts w:ascii="Noto Serif" w:hAnsi="Noto Serif"/>
          <w:color w:val="202124"/>
          <w:sz w:val="20"/>
        </w:rPr>
        <w:t>No claim that a child’s willingness to sing or bow proves spiritual character.</w:t>
      </w:r>
    </w:p>
    <w:p>
      <w:pPr>
        <w:pStyle w:val="ListBullet"/>
        <w:spacing w:after="30"/>
      </w:pPr>
      <w:r>
        <w:rPr>
          <w:rFonts w:ascii="Noto Serif" w:hAnsi="Noto Serif"/>
          <w:color w:val="202124"/>
          <w:sz w:val="20"/>
        </w:rPr>
        <w:t>No linking instrument or ārati visibility to prestige, leadership entitlement or family status.</w:t>
      </w:r>
    </w:p>
    <w:p>
      <w:pPr>
        <w:pStyle w:val="ListBullet"/>
        <w:spacing w:after="30"/>
      </w:pPr>
      <w:r>
        <w:rPr>
          <w:rFonts w:ascii="Noto Serif" w:hAnsi="Noto Serif"/>
          <w:color w:val="202124"/>
          <w:sz w:val="20"/>
        </w:rPr>
        <w:t>No pressure to adopt Deities, a complex altar, a specific fast or a larger chanting vow to remain included.</w:t>
      </w:r>
    </w:p>
    <w:p>
      <w:pPr>
        <w:pStyle w:val="ListBullet"/>
        <w:spacing w:after="30"/>
      </w:pPr>
      <w:r>
        <w:rPr>
          <w:rFonts w:ascii="Noto Serif" w:hAnsi="Noto Serif"/>
          <w:color w:val="202124"/>
          <w:sz w:val="20"/>
        </w:rPr>
        <w:t>Concerns about guru, initiation or formal vows are referred to proper authorities rather than resolved in the Friday group.</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19</w:t>
            </w:r>
          </w:p>
        </w:tc>
        <w:tc>
          <w:tcPr>
            <w:tcW w:type="dxa" w:w="9216"/>
            <w:shd w:fill="351A4A"/>
            <w:tcMar>
              <w:top w:w="140" w:type="dxa"/>
              <w:start w:w="120" w:type="dxa"/>
              <w:bottom w:w="140" w:type="dxa"/>
              <w:end w:w="120" w:type="dxa"/>
            </w:tcMar>
          </w:tcPr>
          <w:p>
            <w:r>
              <w:rPr>
                <w:rFonts w:ascii="Lato" w:hAnsi="Lato"/>
                <w:b/>
                <w:color w:val="FFFFFF"/>
                <w:sz w:val="30"/>
              </w:rPr>
              <w:t>LAUNCH AND IMPROVEMENT</w:t>
              <w:br/>
            </w:r>
            <w:r>
              <w:rPr>
                <w:rFonts w:ascii="Noto Serif" w:hAnsi="Noto Serif"/>
                <w:i/>
                <w:color w:val="EEE7F3"/>
                <w:sz w:val="17"/>
              </w:rPr>
              <w:t>Ninety-day plan, gates, review and what not to overbuild</w:t>
            </w:r>
          </w:p>
        </w:tc>
      </w:tr>
    </w:tbl>
    <w:p>
      <w:pPr>
        <w:spacing w:after="0"/>
      </w:pPr>
    </w:p>
    <w:p>
      <w:pPr>
        <w:pStyle w:val="Heading1"/>
      </w:pPr>
      <w:bookmarkStart w:id="426679" w:name="sec_launch"/>
      <w:r>
        <w:t>19. Launch Plan and Continuous Improvement</w:t>
      </w:r>
      <w:bookmarkEnd w:id="426679"/>
    </w:p>
    <w:p>
      <w:pPr>
        <w:pStyle w:val="Heading2"/>
      </w:pPr>
      <w:r>
        <w:t>19.1 Ninety-Day Launch Plan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Period</w:t>
            </w:r>
          </w:p>
        </w:tc>
        <w:tc>
          <w:tcPr>
            <w:tcW w:type="dxa" w:w="640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Required work</w:t>
            </w:r>
          </w:p>
        </w:tc>
        <w:tc>
          <w:tcPr>
            <w:tcW w:type="dxa" w:w="223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6"/>
              </w:rPr>
              <w:t>Exit gate</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Days 1–15</w:t>
            </w:r>
          </w:p>
        </w:tc>
        <w:tc>
          <w:tcPr>
            <w:tcW w:type="dxa" w:w="640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Appoint Worship Lead and Safety Lead; identify qualified reviewer; freeze proposed Tier 0/1 canon; inventory venue and equipment.</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Named owners and review meeting scheduled.</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Days 16–30</w:t>
            </w:r>
          </w:p>
        </w:tc>
        <w:tc>
          <w:tcPr>
            <w:tcW w:type="dxa" w:w="640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Approve Friday launch order, core text/audio, sound controls, learner sheet and no-flame default.</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Controlled launch pack published.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Month 2</w:t>
            </w:r>
          </w:p>
        </w:tc>
        <w:tc>
          <w:tcPr>
            <w:tcW w:type="dxa" w:w="640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Demonstration only for major roles; begin core prayers, response singing, japa and kartāla.</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No untrained service rotation.</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Month 3</w:t>
            </w:r>
          </w:p>
        </w:tc>
        <w:tc>
          <w:tcPr>
            <w:tcW w:type="dxa" w:w="640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Shadow service; supervised kīrtana leads; home-space and prasāda-prayer workshops.</w:t>
            </w:r>
          </w:p>
        </w:tc>
        <w:tc>
          <w:tcPr>
            <w:tcW w:type="dxa" w:w="223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At least two trained assistants and stable setup.</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After 90 days</w:t>
            </w:r>
          </w:p>
        </w:tc>
        <w:tc>
          <w:tcPr>
            <w:tcW w:type="dxa" w:w="640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Review incidents, timing, family load and trainer capacity; decide whether restricted worship training begins.</w:t>
            </w:r>
          </w:p>
        </w:tc>
        <w:tc>
          <w:tcPr>
            <w:tcW w:type="dxa" w:w="223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6"/>
              </w:rPr>
              <w:t>Written go/no-go decision for each restricted domain.</w:t>
            </w:r>
          </w:p>
        </w:tc>
      </w:tr>
    </w:tbl>
    <w:p>
      <w:pPr>
        <w:spacing w:after="0"/>
      </w:pPr>
    </w:p>
    <w:p>
      <w:pPr>
        <w:pStyle w:val="Heading2"/>
      </w:pPr>
      <w:r>
        <w:t>19.2 Minimum Viable Launch Pack</w:t>
      </w:r>
    </w:p>
    <w:p>
      <w:pPr>
        <w:pStyle w:val="ListBullet"/>
        <w:spacing w:after="30"/>
      </w:pPr>
      <w:r>
        <w:rPr>
          <w:rFonts w:ascii="Noto Serif" w:hAnsi="Noto Serif"/>
          <w:color w:val="202124"/>
          <w:sz w:val="20"/>
        </w:rPr>
        <w:t>Approved Friday opening order.</w:t>
      </w:r>
    </w:p>
    <w:p>
      <w:pPr>
        <w:pStyle w:val="ListBullet"/>
        <w:spacing w:after="30"/>
      </w:pPr>
      <w:r>
        <w:rPr>
          <w:rFonts w:ascii="Noto Serif" w:hAnsi="Noto Serif"/>
          <w:color w:val="202124"/>
          <w:sz w:val="20"/>
        </w:rPr>
        <w:t>Tier 0 prayer sheet with exact text, meaning, pronunciation and audio links.</w:t>
      </w:r>
    </w:p>
    <w:p>
      <w:pPr>
        <w:pStyle w:val="ListBullet"/>
        <w:spacing w:after="30"/>
      </w:pPr>
      <w:r>
        <w:rPr>
          <w:rFonts w:ascii="Noto Serif" w:hAnsi="Noto Serif"/>
          <w:color w:val="202124"/>
          <w:sz w:val="20"/>
        </w:rPr>
        <w:t>Canon register and new-song request form.</w:t>
      </w:r>
    </w:p>
    <w:p>
      <w:pPr>
        <w:pStyle w:val="ListBullet"/>
        <w:spacing w:after="30"/>
      </w:pPr>
      <w:r>
        <w:rPr>
          <w:rFonts w:ascii="Noto Serif" w:hAnsi="Noto Serif"/>
          <w:color w:val="202124"/>
          <w:sz w:val="20"/>
        </w:rPr>
        <w:t>Leader, assistant and instrument checklists.</w:t>
      </w:r>
    </w:p>
    <w:p>
      <w:pPr>
        <w:pStyle w:val="ListBullet"/>
        <w:spacing w:after="30"/>
      </w:pPr>
      <w:r>
        <w:rPr>
          <w:rFonts w:ascii="Noto Serif" w:hAnsi="Noto Serif"/>
          <w:color w:val="202124"/>
          <w:sz w:val="20"/>
        </w:rPr>
        <w:t>Sound and room setup checklist.</w:t>
      </w:r>
    </w:p>
    <w:p>
      <w:pPr>
        <w:pStyle w:val="ListBullet"/>
        <w:spacing w:after="30"/>
      </w:pPr>
      <w:r>
        <w:rPr>
          <w:rFonts w:ascii="Noto Serif" w:hAnsi="Noto Serif"/>
          <w:color w:val="202124"/>
          <w:sz w:val="20"/>
        </w:rPr>
        <w:t>Japa Module 1 learner sheet.</w:t>
      </w:r>
    </w:p>
    <w:p>
      <w:pPr>
        <w:pStyle w:val="ListBullet"/>
        <w:spacing w:after="30"/>
      </w:pPr>
      <w:r>
        <w:rPr>
          <w:rFonts w:ascii="Noto Serif" w:hAnsi="Noto Serif"/>
          <w:color w:val="202124"/>
          <w:sz w:val="20"/>
        </w:rPr>
        <w:t>Prasāda-prayer family card.</w:t>
      </w:r>
    </w:p>
    <w:p>
      <w:pPr>
        <w:pStyle w:val="ListBullet"/>
        <w:spacing w:after="30"/>
      </w:pPr>
      <w:r>
        <w:rPr>
          <w:rFonts w:ascii="Noto Serif" w:hAnsi="Noto Serif"/>
          <w:color w:val="202124"/>
          <w:sz w:val="20"/>
        </w:rPr>
        <w:t>Incident/near-miss form and stop-authority statement.</w:t>
      </w:r>
    </w:p>
    <w:p>
      <w:pPr>
        <w:pStyle w:val="ListBullet"/>
        <w:spacing w:after="30"/>
      </w:pPr>
      <w:r>
        <w:rPr>
          <w:rFonts w:ascii="Noto Serif" w:hAnsi="Noto Serif"/>
          <w:color w:val="202124"/>
          <w:sz w:val="20"/>
        </w:rPr>
        <w:t>Authority-review tracker for all unresolved worship procedures.</w:t>
      </w:r>
    </w:p>
    <w:p>
      <w:pPr>
        <w:pStyle w:val="Heading2"/>
      </w:pPr>
      <w:r>
        <w:t>19.3 What Not to Build Before Launch</w:t>
      </w:r>
    </w:p>
    <w:p>
      <w:pPr>
        <w:pStyle w:val="ListBullet"/>
        <w:spacing w:after="30"/>
      </w:pPr>
      <w:r>
        <w:rPr>
          <w:rFonts w:ascii="Noto Serif" w:hAnsi="Noto Serif"/>
          <w:color w:val="202124"/>
          <w:sz w:val="20"/>
        </w:rPr>
        <w:t>A large custom audio platform or mobile application.</w:t>
      </w:r>
    </w:p>
    <w:p>
      <w:pPr>
        <w:pStyle w:val="ListBullet"/>
        <w:spacing w:after="30"/>
      </w:pPr>
      <w:r>
        <w:rPr>
          <w:rFonts w:ascii="Noto Serif" w:hAnsi="Noto Serif"/>
          <w:color w:val="202124"/>
          <w:sz w:val="20"/>
        </w:rPr>
        <w:t>A fifty-song library that beginners cannot retain.</w:t>
      </w:r>
    </w:p>
    <w:p>
      <w:pPr>
        <w:pStyle w:val="ListBullet"/>
        <w:spacing w:after="30"/>
      </w:pPr>
      <w:r>
        <w:rPr>
          <w:rFonts w:ascii="Noto Serif" w:hAnsi="Noto Serif"/>
          <w:color w:val="202124"/>
          <w:sz w:val="20"/>
        </w:rPr>
        <w:t>Complex Deity-worship handbooks before a reviewer and trainer exist.</w:t>
      </w:r>
    </w:p>
    <w:p>
      <w:pPr>
        <w:pStyle w:val="ListBullet"/>
        <w:spacing w:after="30"/>
      </w:pPr>
      <w:r>
        <w:rPr>
          <w:rFonts w:ascii="Noto Serif" w:hAnsi="Noto Serif"/>
          <w:color w:val="202124"/>
          <w:sz w:val="20"/>
        </w:rPr>
        <w:t>Multiple instrument classes without competent teachers.</w:t>
      </w:r>
    </w:p>
    <w:p>
      <w:pPr>
        <w:pStyle w:val="ListBullet"/>
        <w:spacing w:after="30"/>
      </w:pPr>
      <w:r>
        <w:rPr>
          <w:rFonts w:ascii="Noto Serif" w:hAnsi="Noto Serif"/>
          <w:color w:val="202124"/>
          <w:sz w:val="20"/>
        </w:rPr>
        <w:t>Public certification, badges or ranking systems.</w:t>
      </w:r>
    </w:p>
    <w:p>
      <w:pPr>
        <w:pStyle w:val="ListBullet"/>
        <w:spacing w:after="30"/>
      </w:pPr>
      <w:r>
        <w:rPr>
          <w:rFonts w:ascii="Noto Serif" w:hAnsi="Noto Serif"/>
          <w:color w:val="202124"/>
          <w:sz w:val="20"/>
        </w:rPr>
        <w:t>Elaborate dashboards for a five- or six-family pilot.</w:t>
      </w:r>
    </w:p>
    <w:p>
      <w:pPr>
        <w:pStyle w:val="ListBullet"/>
        <w:spacing w:after="30"/>
      </w:pPr>
      <w:r>
        <w:rPr>
          <w:rFonts w:ascii="Noto Serif" w:hAnsi="Noto Serif"/>
          <w:color w:val="202124"/>
          <w:sz w:val="20"/>
        </w:rPr>
        <w:t>A rotating ārati roster created merely to make every family appear equally involved.</w:t>
      </w:r>
    </w:p>
    <w:p>
      <w:pPr>
        <w:pStyle w:val="Heading2"/>
      </w:pPr>
      <w:r>
        <w:t>19.4 Cycle Review Questions</w:t>
      </w:r>
    </w:p>
    <w:p>
      <w:pPr>
        <w:pStyle w:val="ListBullet"/>
        <w:spacing w:after="30"/>
      </w:pPr>
      <w:r>
        <w:rPr>
          <w:rFonts w:ascii="Noto Serif" w:hAnsi="Noto Serif"/>
          <w:color w:val="202124"/>
          <w:sz w:val="20"/>
        </w:rPr>
        <w:t>Did families sing more confidently and understand more, or did content volume increase without mastery?</w:t>
      </w:r>
    </w:p>
    <w:p>
      <w:pPr>
        <w:pStyle w:val="ListBullet"/>
        <w:spacing w:after="30"/>
      </w:pPr>
      <w:r>
        <w:rPr>
          <w:rFonts w:ascii="Noto Serif" w:hAnsi="Noto Serif"/>
          <w:color w:val="202124"/>
          <w:sz w:val="20"/>
        </w:rPr>
        <w:t>Did the mahā-mantra remain central?</w:t>
      </w:r>
    </w:p>
    <w:p>
      <w:pPr>
        <w:pStyle w:val="ListBullet"/>
        <w:spacing w:after="30"/>
      </w:pPr>
      <w:r>
        <w:rPr>
          <w:rFonts w:ascii="Noto Serif" w:hAnsi="Noto Serif"/>
          <w:color w:val="202124"/>
          <w:sz w:val="20"/>
        </w:rPr>
        <w:t>Were any texts, tunes or procedures used outside the approved register?</w:t>
      </w:r>
    </w:p>
    <w:p>
      <w:pPr>
        <w:pStyle w:val="ListBullet"/>
        <w:spacing w:after="30"/>
      </w:pPr>
      <w:r>
        <w:rPr>
          <w:rFonts w:ascii="Noto Serif" w:hAnsi="Noto Serif"/>
          <w:color w:val="202124"/>
          <w:sz w:val="20"/>
        </w:rPr>
        <w:t>Were sound, flame, tool, child or cleanliness controls actually followed?</w:t>
      </w:r>
    </w:p>
    <w:p>
      <w:pPr>
        <w:pStyle w:val="ListBullet"/>
        <w:spacing w:after="30"/>
      </w:pPr>
      <w:r>
        <w:rPr>
          <w:rFonts w:ascii="Noto Serif" w:hAnsi="Noto Serif"/>
          <w:color w:val="202124"/>
          <w:sz w:val="20"/>
        </w:rPr>
        <w:t>Which service roles are understaffed, and should the practice be simplified rather than expanded?</w:t>
      </w:r>
    </w:p>
    <w:p>
      <w:pPr>
        <w:pStyle w:val="ListBullet"/>
        <w:spacing w:after="30"/>
      </w:pPr>
      <w:r>
        <w:rPr>
          <w:rFonts w:ascii="Noto Serif" w:hAnsi="Noto Serif"/>
          <w:color w:val="202124"/>
          <w:sz w:val="20"/>
        </w:rPr>
        <w:t>Did any family experience pressure, comparison or exclusion?</w:t>
      </w:r>
    </w:p>
    <w:p>
      <w:pPr>
        <w:pStyle w:val="ListBullet"/>
        <w:spacing w:after="30"/>
      </w:pPr>
      <w:r>
        <w:rPr>
          <w:rFonts w:ascii="Noto Serif" w:hAnsi="Noto Serif"/>
          <w:color w:val="202124"/>
          <w:sz w:val="20"/>
        </w:rPr>
        <w:t>What one defect will be corrected before the next cycle?</w:t>
      </w: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A</w:t>
            </w:r>
          </w:p>
        </w:tc>
        <w:tc>
          <w:tcPr>
            <w:tcW w:type="dxa" w:w="9216"/>
            <w:shd w:fill="351A4A"/>
            <w:tcMar>
              <w:top w:w="140" w:type="dxa"/>
              <w:start w:w="120" w:type="dxa"/>
              <w:bottom w:w="140" w:type="dxa"/>
              <w:end w:w="120" w:type="dxa"/>
            </w:tcMar>
          </w:tcPr>
          <w:p>
            <w:r>
              <w:rPr>
                <w:rFonts w:ascii="Lato" w:hAnsi="Lato"/>
                <w:b/>
                <w:color w:val="FFFFFF"/>
                <w:sz w:val="30"/>
              </w:rPr>
              <w:t>APPENDICES</w:t>
              <w:br/>
            </w:r>
            <w:r>
              <w:rPr>
                <w:rFonts w:ascii="Noto Serif" w:hAnsi="Noto Serif"/>
                <w:i/>
                <w:color w:val="EEE7F3"/>
                <w:sz w:val="17"/>
              </w:rPr>
              <w:t>Copy-ready controlled forms and checklists</w:t>
            </w:r>
          </w:p>
        </w:tc>
      </w:tr>
    </w:tbl>
    <w:p>
      <w:pPr>
        <w:spacing w:after="0"/>
      </w:pPr>
    </w:p>
    <w:p>
      <w:pPr>
        <w:pStyle w:val="Heading1"/>
      </w:pPr>
      <w:bookmarkStart w:id="426956" w:name="sec_appendix"/>
      <w:r>
        <w:t>Appendix A–H. Forms and Templates</w:t>
      </w:r>
      <w:bookmarkEnd w:id="426956"/>
    </w:p>
    <w:p>
      <w:pPr>
        <w:pStyle w:val="Heading2"/>
      </w:pPr>
      <w:r>
        <w:t>Appendix A — Authority Review Form</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Field</w:t>
            </w:r>
          </w:p>
        </w:tc>
        <w:tc>
          <w:tcPr>
            <w:tcW w:type="dxa" w:w="6983"/>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Entry</w:t>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Document / canon ID</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Title</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Practice class</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 / B / C</w:t>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Source documents</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Exact questions for reviewer</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Safety dependencies</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Reviewer decision</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 / approve with changes / reject / defer</w:t>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Required changes</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Approved scope</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Reviewer name and role</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Approval date / review date</w:t>
            </w:r>
          </w:p>
        </w:tc>
        <w:tc>
          <w:tcPr>
            <w:tcW w:type="dxa" w:w="698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09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Version released</w:t>
            </w:r>
          </w:p>
        </w:tc>
        <w:tc>
          <w:tcPr>
            <w:tcW w:type="dxa" w:w="698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bl>
    <w:p>
      <w:pPr>
        <w:spacing w:after="0"/>
      </w:pPr>
    </w:p>
    <w:p>
      <w:pPr>
        <w:pStyle w:val="Heading2"/>
      </w:pPr>
      <w:r>
        <w:t>Appendix B — New Song or Prayer Request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45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Required field</w:t>
            </w:r>
          </w:p>
        </w:tc>
        <w:tc>
          <w:tcPr>
            <w:tcW w:type="dxa" w:w="6623"/>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Entry</w:t>
            </w:r>
          </w:p>
        </w:tc>
      </w:tr>
      <w:tr>
        <w:trPr>
          <w:cantSplit/>
          <w:cantSplit/>
        </w:trPr>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Requested item and first line</w:t>
            </w:r>
          </w:p>
        </w:tc>
        <w:tc>
          <w:tcPr>
            <w:tcW w:type="dxa" w:w="662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Author / ācārya</w:t>
            </w:r>
          </w:p>
        </w:tc>
        <w:tc>
          <w:tcPr>
            <w:tcW w:type="dxa" w:w="662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Text source</w:t>
            </w:r>
          </w:p>
        </w:tc>
        <w:tc>
          <w:tcPr>
            <w:tcW w:type="dxa" w:w="662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Translation source</w:t>
            </w:r>
          </w:p>
        </w:tc>
        <w:tc>
          <w:tcPr>
            <w:tcW w:type="dxa" w:w="662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Proposed audio/melody source</w:t>
            </w:r>
          </w:p>
        </w:tc>
        <w:tc>
          <w:tcPr>
            <w:tcW w:type="dxa" w:w="662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Intended occasion and learning tier</w:t>
            </w:r>
          </w:p>
        </w:tc>
        <w:tc>
          <w:tcPr>
            <w:tcW w:type="dxa" w:w="662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Why current canon is insufficient</w:t>
            </w:r>
          </w:p>
        </w:tc>
        <w:tc>
          <w:tcPr>
            <w:tcW w:type="dxa" w:w="662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Theological review</w:t>
            </w:r>
          </w:p>
        </w:tc>
        <w:tc>
          <w:tcPr>
            <w:tcW w:type="dxa" w:w="662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Pronunciation review</w:t>
            </w:r>
          </w:p>
        </w:tc>
        <w:tc>
          <w:tcPr>
            <w:tcW w:type="dxa" w:w="6623"/>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45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Decision and version</w:t>
            </w:r>
          </w:p>
        </w:tc>
        <w:tc>
          <w:tcPr>
            <w:tcW w:type="dxa" w:w="6623"/>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bl>
    <w:p>
      <w:pPr>
        <w:spacing w:after="0"/>
      </w:pPr>
    </w:p>
    <w:p>
      <w:pPr>
        <w:pStyle w:val="Heading2"/>
      </w:pPr>
      <w:r>
        <w:t>Appendix C — Kīrtana Leader Observation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112"/>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Criterion</w:t>
            </w:r>
          </w:p>
        </w:tc>
        <w:tc>
          <w:tcPr>
            <w:tcW w:type="dxa" w:w="4968"/>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Rating / note</w:t>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Exact text and pronunciation</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Singable pitch range</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Repeatable phrase length</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Steady tempo and appropriate dynamics</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Congregational response audible</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Mahā-mantra remains primary</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Approved song/mantra selection</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Instrument balance</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Sound safety</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Time control and transition</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Humility, reliability and response to correction</w:t>
            </w:r>
          </w:p>
        </w:tc>
        <w:tc>
          <w:tcPr>
            <w:tcW w:type="dxa" w:w="4968"/>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112"/>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Decision</w:t>
            </w:r>
          </w:p>
        </w:tc>
        <w:tc>
          <w:tcPr>
            <w:tcW w:type="dxa" w:w="4968"/>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Continue supervised / approve / remediate / hold</w:t>
            </w:r>
          </w:p>
        </w:tc>
      </w:tr>
    </w:tbl>
    <w:p>
      <w:pPr>
        <w:spacing w:after="0"/>
      </w:pPr>
    </w:p>
    <w:p>
      <w:pPr>
        <w:pStyle w:val="Heading2"/>
      </w:pPr>
      <w:r>
        <w:t>Appendix D — Restricted Service Authorisation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Field</w:t>
            </w:r>
          </w:p>
        </w:tc>
        <w:tc>
          <w:tcPr>
            <w:tcW w:type="dxa" w:w="648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Entry</w:t>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Participant</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Service</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Venue / scope</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Approved procedure version</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Trainer demonstrations completed</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Observed demonstrations completed</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Safety training completed</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Qualified authority approval</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KUTUMBA operational approval</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Start date / review date</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Conditions or limits</w:t>
            </w:r>
          </w:p>
        </w:tc>
        <w:tc>
          <w:tcPr>
            <w:tcW w:type="dxa" w:w="648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60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Status</w:t>
            </w:r>
          </w:p>
        </w:tc>
        <w:tc>
          <w:tcPr>
            <w:tcW w:type="dxa" w:w="648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Active / on hold / withdrawn / expired</w:t>
            </w:r>
          </w:p>
        </w:tc>
      </w:tr>
    </w:tbl>
    <w:p>
      <w:pPr>
        <w:spacing w:after="0"/>
      </w:pPr>
    </w:p>
    <w:p>
      <w:pPr>
        <w:pStyle w:val="Heading2"/>
      </w:pPr>
      <w:r>
        <w:t>Appendix E — Friday Setup and Close Checklist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Phase</w:t>
            </w:r>
          </w:p>
        </w:tc>
        <w:tc>
          <w:tcPr>
            <w:tcW w:type="dxa" w:w="86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Check</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Order, leader and assistants confirmed</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Current prayer sheet and audio references verified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Sound checked in children’s zone</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Instruments inspected and counted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Movement, shoe and restricted zones clear</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Before</w:t>
            </w:r>
          </w:p>
        </w:tc>
        <w:tc>
          <w:tcPr>
            <w:tcW w:type="dxa" w:w="86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Flame permission and safety controls confirmed, or no-flame plan used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After</w:t>
            </w:r>
          </w:p>
        </w:tc>
        <w:tc>
          <w:tcPr>
            <w:tcW w:type="dxa" w:w="86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Instruments and audio equipment counted/stored</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After</w:t>
            </w:r>
          </w:p>
        </w:tc>
        <w:tc>
          <w:tcPr>
            <w:tcW w:type="dxa" w:w="86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Hot articles extinguished/cold and stored</w:t>
            </w:r>
          </w:p>
        </w:tc>
      </w:tr>
      <w:tr>
        <w:trPr>
          <w:cantSplit/>
          <w:cantSplit/>
        </w:trPr>
        <w:tc>
          <w:tcPr>
            <w:tcW w:type="dxa" w:w="14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After</w:t>
            </w:r>
          </w:p>
        </w:tc>
        <w:tc>
          <w:tcPr>
            <w:tcW w:type="dxa" w:w="86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Surfaces reset and cloths segregated</w:t>
            </w:r>
          </w:p>
        </w:tc>
      </w:tr>
      <w:tr>
        <w:trPr>
          <w:cantSplit/>
          <w:cantSplit/>
        </w:trPr>
        <w:tc>
          <w:tcPr>
            <w:tcW w:type="dxa" w:w="14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After</w:t>
            </w:r>
          </w:p>
        </w:tc>
        <w:tc>
          <w:tcPr>
            <w:tcW w:type="dxa" w:w="86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Incident, near miss or procedure question recorded</w:t>
            </w:r>
          </w:p>
        </w:tc>
      </w:tr>
    </w:tbl>
    <w:p>
      <w:pPr>
        <w:spacing w:after="0"/>
      </w:pPr>
    </w:p>
    <w:p>
      <w:pPr>
        <w:pStyle w:val="Heading2"/>
      </w:pPr>
      <w:r>
        <w:t>Appendix F — Family Private Progress Review</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Prompt</w:t>
            </w:r>
          </w:p>
        </w:tc>
        <w:tc>
          <w:tcPr>
            <w:tcW w:type="dxa" w:w="5040"/>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Family note</w:t>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prayer or song we understand better</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chanting or japa practice that became more stable</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service we can perform confidently</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practice that is too ambitious and should be simplified</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safety or inclusion need</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One question for the trainer or authority</w:t>
            </w:r>
          </w:p>
        </w:tc>
        <w:tc>
          <w:tcPr>
            <w:tcW w:type="dxa" w:w="5040"/>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Next cycle’s single commitment</w:t>
            </w:r>
          </w:p>
        </w:tc>
        <w:tc>
          <w:tcPr>
            <w:tcW w:type="dxa" w:w="5040"/>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bl>
    <w:p>
      <w:pPr>
        <w:spacing w:after="0"/>
      </w:pPr>
    </w:p>
    <w:p>
      <w:pPr>
        <w:pStyle w:val="Heading2"/>
      </w:pPr>
      <w:r>
        <w:t>Appendix G — Worship Safety Incident / Near Miss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Field</w:t>
            </w:r>
          </w:p>
        </w:tc>
        <w:tc>
          <w:tcPr>
            <w:tcW w:type="dxa" w:w="63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Entry</w:t>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Date, time and location</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Activity</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People involved (minimum necessary)</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What happened — factual description</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Immediate stop / first aid / emergency action</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Sound, flame, tool, food, child or other category</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Procedure/version in use</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Contributing conditions</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Corrective action before next session</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Owner and due date</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Authority or venue notification required</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Closure review</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bl>
    <w:p>
      <w:pPr>
        <w:spacing w:after="0"/>
      </w:pPr>
    </w:p>
    <w:p>
      <w:pPr>
        <w:pStyle w:val="Heading2"/>
      </w:pPr>
      <w:r>
        <w:t>Appendix H — Monthly Workshop Plan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Field</w:t>
            </w:r>
          </w:p>
        </w:tc>
        <w:tc>
          <w:tcPr>
            <w:tcW w:type="dxa" w:w="6336"/>
            <w:shd w:fill="4D2A6A"/>
            <w:tcMar>
              <w:top w:w="85" w:type="dxa"/>
              <w:start w:w="75" w:type="dxa"/>
              <w:bottom w:w="85" w:type="dxa"/>
              <w:end w:w="75" w:type="dxa"/>
            </w:tcMar>
            <w:vAlign w:val="center"/>
            <w:tcBorders>
              <w:top w:val="single" w:sz="4" w:color="FFFFFF"/>
              <w:start w:val="single" w:sz="4" w:color="FFFFFF"/>
              <w:bottom w:val="single" w:sz="4" w:color="FFFFFF"/>
              <w:end w:val="single" w:sz="4" w:color="FFFFFF"/>
            </w:tcBorders>
          </w:tcPr>
          <w:p>
            <w:pPr>
              <w:jc w:val="center"/>
            </w:pPr>
            <w:r>
              <w:rPr>
                <w:rFonts w:ascii="Lato" w:hAnsi="Lato"/>
                <w:b/>
                <w:color w:val="FFFFFF"/>
                <w:sz w:val="17"/>
              </w:rPr>
              <w:t>Entry</w:t>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Workshop and learning objective</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Practice class and approval status</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Trainer / safety observer</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Approved learner/procedure version</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Materials and quantity</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Age and accessibility adaptations</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Sound / flame / tool / allergy controls</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20-minute run of show</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Assessment evidence</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Reset and storage owner</w:t>
            </w:r>
          </w:p>
        </w:tc>
        <w:tc>
          <w:tcPr>
            <w:tcW w:type="dxa" w:w="6336"/>
            <w:shd w:fill="F7F8F9"/>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r>
        <w:trPr>
          <w:cantSplit/>
          <w:cantSplit/>
        </w:trPr>
        <w:tc>
          <w:tcPr>
            <w:tcW w:type="dxa" w:w="3744"/>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t>Post-workshop defect and correction</w:t>
            </w:r>
          </w:p>
        </w:tc>
        <w:tc>
          <w:tcPr>
            <w:tcW w:type="dxa" w:w="6336"/>
            <w:shd w:fill="FFFFFF"/>
            <w:tcMar>
              <w:top w:w="75" w:type="dxa"/>
              <w:start w:w="75" w:type="dxa"/>
              <w:bottom w:w="75" w:type="dxa"/>
              <w:end w:w="75" w:type="dxa"/>
            </w:tcMar>
            <w:vAlign w:val="top"/>
            <w:tcBorders>
              <w:top w:val="single" w:sz="3" w:color="D9DEE2"/>
              <w:start w:val="single" w:sz="3" w:color="D9DEE2"/>
              <w:bottom w:val="single" w:sz="3" w:color="D9DEE2"/>
              <w:end w:val="single" w:sz="3" w:color="D9DEE2"/>
            </w:tcBorders>
          </w:tcPr>
          <w:p>
            <w:r>
              <w:rPr>
                <w:rFonts w:ascii="Noto Serif" w:hAnsi="Noto Serif"/>
                <w:color w:val="202124"/>
                <w:sz w:val="17"/>
              </w:rPr>
            </w:r>
          </w:p>
        </w:tc>
      </w:tr>
    </w:tbl>
    <w:p>
      <w:pPr>
        <w:spacing w:after="0"/>
      </w:pPr>
    </w:p>
    <w:p>
      <w:pPr>
        <w:pageBreakBefore/>
        <w:spacing w:before="0" w:after="0" w:line="20" w:lineRule="exact"/>
      </w:pPr>
      <w:r>
        <w:rPr>
          <w:rFonts w:ascii="Noto Serif" w:hAnsi="Noto Serif"/>
          <w:color w:val="FFFFFF"/>
          <w:sz w:val="2"/>
        </w:rPr>
        <w:t>​</w:t>
      </w:r>
    </w:p>
    <w:tbl>
      <w:tblPr>
        <w:tblW w:type="auto" w:w="0"/>
        <w:jc w:val="center"/>
        <w:tblLayout w:type="fixed"/>
        <w:tblLook w:firstColumn="1" w:firstRow="1" w:lastColumn="0" w:lastRow="0" w:noHBand="0" w:noVBand="1" w:val="04A0"/>
      </w:tblPr>
      <w:tblGrid>
        <w:gridCol w:w="5083"/>
        <w:gridCol w:w="5083"/>
      </w:tblGrid>
      <w:tr>
        <w:trPr>
          <w:cantSplit/>
        </w:trPr>
        <w:tc>
          <w:tcPr>
            <w:tcW w:type="dxa" w:w="936"/>
            <w:shd w:fill="D5A93A"/>
            <w:tcMar>
              <w:top w:w="140" w:type="dxa"/>
              <w:start w:w="120" w:type="dxa"/>
              <w:bottom w:w="140" w:type="dxa"/>
              <w:end w:w="120" w:type="dxa"/>
            </w:tcMar>
          </w:tcPr>
          <w:p>
            <w:pPr>
              <w:jc w:val="center"/>
            </w:pPr>
            <w:r>
              <w:rPr>
                <w:rFonts w:ascii="Lato" w:hAnsi="Lato"/>
                <w:b/>
                <w:color w:val="351A4A"/>
                <w:sz w:val="36"/>
              </w:rPr>
              <w:t>R</w:t>
            </w:r>
          </w:p>
        </w:tc>
        <w:tc>
          <w:tcPr>
            <w:tcW w:type="dxa" w:w="9216"/>
            <w:shd w:fill="351A4A"/>
            <w:tcMar>
              <w:top w:w="140" w:type="dxa"/>
              <w:start w:w="120" w:type="dxa"/>
              <w:bottom w:w="140" w:type="dxa"/>
              <w:end w:w="120" w:type="dxa"/>
            </w:tcMar>
          </w:tcPr>
          <w:p>
            <w:r>
              <w:rPr>
                <w:rFonts w:ascii="Lato" w:hAnsi="Lato"/>
                <w:b/>
                <w:color w:val="FFFFFF"/>
                <w:sz w:val="30"/>
              </w:rPr>
              <w:t>RESEARCH REGISTER</w:t>
              <w:br/>
            </w:r>
            <w:r>
              <w:rPr>
                <w:rFonts w:ascii="Noto Serif" w:hAnsi="Noto Serif"/>
                <w:i/>
                <w:color w:val="EEE7F3"/>
                <w:sz w:val="17"/>
              </w:rPr>
              <w:t>Authoritative basis, accessed 29 June 2026</w:t>
            </w:r>
          </w:p>
        </w:tc>
      </w:tr>
    </w:tbl>
    <w:p>
      <w:pPr>
        <w:spacing w:after="0"/>
      </w:pPr>
    </w:p>
    <w:p>
      <w:pPr>
        <w:pStyle w:val="Heading1"/>
      </w:pPr>
      <w:bookmarkStart w:id="642658" w:name="sec_refs"/>
      <w:r>
        <w:t>Research and Reference Register</w:t>
      </w:r>
      <w:bookmarkEnd w:id="642658"/>
    </w:p>
    <w:p>
      <w:pPr>
        <w:pStyle w:val="BodyText"/>
        <w:spacing w:after="80"/>
      </w:pPr>
      <w:r>
        <w:rPr>
          <w:rFonts w:ascii="Noto Serif" w:hAnsi="Noto Serif"/>
          <w:i w:val="0"/>
          <w:color w:val="202124"/>
          <w:sz w:val="20"/>
        </w:rPr>
        <w:t>External sources support the design, but they do not replace the local qualified authority’s decision on exact procedures. Where a source is a training syllabus or online procedure, KUTUMBA uses it to establish scope, competence and control—not to self-authorise restricted practice.</w:t>
      </w: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KUTUMBA Master Operating Model</w:t>
              <w:br/>
            </w:r>
            <w:r>
              <w:rPr>
                <w:rFonts w:ascii="Noto Serif" w:hAnsi="Noto Serif"/>
                <w:color w:val="202124"/>
                <w:sz w:val="16"/>
              </w:rPr>
              <w:t>Internal project source document; especially weekly flow, controlled prayer canon, service training, home worship and no-improvisation principles.</w:t>
              <w:br/>
            </w:r>
            <w:r>
              <w:rPr>
                <w:rFonts w:ascii="Noto Serif" w:hAnsi="Noto Serif"/>
                <w:i/>
                <w:color w:val="5B6268"/>
                <w:sz w:val="16"/>
              </w:rPr>
              <w:t>Internal file</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R2</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Governing Body Commission — 2014 Resolutions</w:t>
              <w:br/>
            </w:r>
            <w:r>
              <w:rPr>
                <w:rFonts w:ascii="Noto Serif" w:hAnsi="Noto Serif"/>
                <w:color w:val="202124"/>
                <w:sz w:val="16"/>
              </w:rPr>
              <w:t>Mahā-mantra primary in kīrtana; guidance on sound monitoring, unapproved formulations and gender/age response division.</w:t>
              <w:br/>
            </w:r>
            <w:hyperlink r:id="rId16">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R3</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Kirtan Ministry — Kirtan Standards Resolutions</w:t>
              <w:br/>
            </w:r>
            <w:r>
              <w:rPr>
                <w:rFonts w:ascii="Noto Serif" w:hAnsi="Noto Serif"/>
                <w:color w:val="202124"/>
                <w:sz w:val="16"/>
              </w:rPr>
              <w:t>GBC-approved guidance on instruments for ārati, bhajana and public presentation.</w:t>
              <w:br/>
            </w:r>
            <w:hyperlink r:id="rId17">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R4</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Deity Worship Ministry — Deity Worship @ Home Syllabus</w:t>
              <w:br/>
            </w:r>
            <w:r>
              <w:rPr>
                <w:rFonts w:ascii="Noto Serif" w:hAnsi="Noto Serif"/>
                <w:color w:val="202124"/>
                <w:sz w:val="16"/>
              </w:rPr>
              <w:t>Structured six-week knowledge, skill, values and assessment model covering purity, food offering, Tulasī, ārati, children, travel and offences.</w:t>
              <w:br/>
            </w:r>
            <w:hyperlink r:id="rId18">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R5</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Deity Worship Ministry — Offering Food</w:t>
              <w:br/>
            </w:r>
            <w:r>
              <w:rPr>
                <w:rFonts w:ascii="Noto Serif" w:hAnsi="Noto Serif"/>
                <w:color w:val="202124"/>
                <w:sz w:val="16"/>
              </w:rPr>
              <w:t>Evidence that food offering is a defined procedure with preparation, articles and mantras.</w:t>
              <w:br/>
            </w:r>
            <w:hyperlink r:id="rId19">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R6</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Deity Worship Ministry — Offering Ārati</w:t>
              <w:br/>
            </w:r>
            <w:r>
              <w:rPr>
                <w:rFonts w:ascii="Noto Serif" w:hAnsi="Noto Serif"/>
                <w:color w:val="202124"/>
                <w:sz w:val="16"/>
              </w:rPr>
              <w:t>Evidence that ārati has required paraphernalia and preliminary activities.</w:t>
              <w:br/>
            </w:r>
            <w:hyperlink r:id="rId20">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R7</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Deity Worship Ministry — Installation and Worship Guidelines</w:t>
              <w:br/>
            </w:r>
            <w:r>
              <w:rPr>
                <w:rFonts w:ascii="Noto Serif" w:hAnsi="Noto Serif"/>
                <w:color w:val="202124"/>
                <w:sz w:val="16"/>
              </w:rPr>
              <w:t>Cautions against commencing worship without sufficient facilities and qualified service.</w:t>
              <w:br/>
            </w:r>
            <w:hyperlink r:id="rId21">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R8</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Bhaktivedanta Vedabase — Śrī Caitanya-caritāmṛta, Antya 20</w:t>
              <w:br/>
            </w:r>
            <w:r>
              <w:rPr>
                <w:rFonts w:ascii="Noto Serif" w:hAnsi="Noto Serif"/>
                <w:color w:val="202124"/>
                <w:sz w:val="16"/>
              </w:rPr>
              <w:t>Śikṣāṣṭakam text and principles for chanting.</w:t>
              <w:br/>
            </w:r>
            <w:hyperlink r:id="rId22">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R9</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Bhaktivedanta Vedabase — CC Antya 3.137</w:t>
              <w:br/>
            </w:r>
            <w:r>
              <w:rPr>
                <w:rFonts w:ascii="Noto Serif" w:hAnsi="Noto Serif"/>
                <w:color w:val="202124"/>
                <w:sz w:val="16"/>
              </w:rPr>
              <w:t>Chanting and service to Tulasī; context for guided practice.</w:t>
              <w:br/>
            </w:r>
            <w:hyperlink r:id="rId23">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R10</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Bhaktivedanta Vedabase — Śrīmad-Bhāgavatam 7.5.23–24</w:t>
              <w:br/>
            </w:r>
            <w:r>
              <w:rPr>
                <w:rFonts w:ascii="Noto Serif" w:hAnsi="Noto Serif"/>
                <w:color w:val="202124"/>
                <w:sz w:val="16"/>
              </w:rPr>
              <w:t>Nine processes of devotion, arcana and worship etiquette; also a learning resource in the home-worship syllabus.</w:t>
              <w:br/>
            </w:r>
            <w:hyperlink r:id="rId24">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R11</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CDC/NIOSH — Understand Noise Exposure</w:t>
              <w:br/>
            </w:r>
            <w:r>
              <w:rPr>
                <w:rFonts w:ascii="Noto Serif" w:hAnsi="Noto Serif"/>
                <w:color w:val="202124"/>
                <w:sz w:val="16"/>
              </w:rPr>
              <w:t>85 dBA occupational recommended exposure limit and measurement principles.</w:t>
              <w:br/>
            </w:r>
            <w:hyperlink r:id="rId25">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R12</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CDC — Preventing Noise-Induced Hearing Loss in Children</w:t>
              <w:br/>
            </w:r>
            <w:r>
              <w:rPr>
                <w:rFonts w:ascii="Noto Serif" w:hAnsi="Noto Serif"/>
                <w:color w:val="202124"/>
                <w:sz w:val="16"/>
              </w:rPr>
              <w:t>Reduce volume, limit exposure and increase distance from loud sound.</w:t>
              <w:br/>
            </w:r>
            <w:hyperlink r:id="rId26">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R13</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NFPA — Religious Candle Safety</w:t>
              <w:br/>
            </w:r>
            <w:r>
              <w:rPr>
                <w:rFonts w:ascii="Noto Serif" w:hAnsi="Noto Serif"/>
                <w:color w:val="202124"/>
                <w:sz w:val="16"/>
              </w:rPr>
              <w:t>Sturdy holders, adult supervision near altars, clear separation from combustibles and child-safe storage of ignition sources.</w:t>
              <w:br/>
            </w:r>
            <w:hyperlink r:id="rId27">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R14</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Bhaktivedanta Vedabase — Jaya Rādhā-Mādhava &amp; Purport</w:t>
              <w:br/>
            </w:r>
            <w:r>
              <w:rPr>
                <w:rFonts w:ascii="Noto Serif" w:hAnsi="Noto Serif"/>
                <w:color w:val="202124"/>
                <w:sz w:val="16"/>
              </w:rPr>
              <w:t>Śrīla Prabhupāda’s explanation and audio context for the song.</w:t>
              <w:br/>
            </w:r>
            <w:hyperlink r:id="rId28">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R15</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Deity Worship Ministry — FAQs</w:t>
              <w:br/>
            </w:r>
            <w:r>
              <w:rPr>
                <w:rFonts w:ascii="Noto Serif" w:hAnsi="Noto Serif"/>
                <w:color w:val="202124"/>
                <w:sz w:val="16"/>
              </w:rPr>
              <w:t>Examples of controlled mantra, Tulasī and practical-worship questions; reinforces referral rather than casual invention.</w:t>
              <w:br/>
            </w:r>
            <w:hyperlink r:id="rId29">
              <w:r>
                <w:rPr>
                  <w:rFonts w:ascii="Lato" w:hAnsi="Lato"/>
                  <w:color w:val="3B5F9A"/>
                  <w:u w:val="single"/>
                </w:rPr>
                <w:t>Open source</w:t>
              </w:r>
            </w:hyperlink>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1007"/>
            <w:shd w:fill="4D2A6A"/>
            <w:tcMar>
              <w:top w:w="85" w:type="dxa"/>
              <w:start w:w="85" w:type="dxa"/>
              <w:bottom w:w="85" w:type="dxa"/>
              <w:end w:w="85" w:type="dxa"/>
            </w:tcMar>
            <w:tcBorders>
              <w:top w:val="single" w:sz="3" w:color="D9DEE2"/>
              <w:start w:val="single" w:sz="3" w:color="D9DEE2"/>
              <w:bottom w:val="single" w:sz="3" w:color="D9DEE2"/>
              <w:end w:val="single" w:sz="3" w:color="D9DEE2"/>
            </w:tcBorders>
          </w:tcPr>
          <w:p>
            <w:pPr>
              <w:jc w:val="center"/>
            </w:pPr>
            <w:r>
              <w:rPr>
                <w:rFonts w:ascii="Lato" w:hAnsi="Lato"/>
                <w:b/>
                <w:color w:val="FFFFFF"/>
                <w:sz w:val="17"/>
              </w:rPr>
              <w:t>R16</w:t>
            </w:r>
          </w:p>
        </w:tc>
        <w:tc>
          <w:tcPr>
            <w:tcW w:type="dxa" w:w="9072"/>
            <w:shd w:fill="FFFFFF"/>
            <w:tcMar>
              <w:top w:w="85" w:type="dxa"/>
              <w:start w:w="85" w:type="dxa"/>
              <w:bottom w:w="85" w:type="dxa"/>
              <w:end w:w="85" w:type="dxa"/>
            </w:tcMar>
            <w:tcBorders>
              <w:top w:val="single" w:sz="3" w:color="D9DEE2"/>
              <w:start w:val="single" w:sz="3" w:color="D9DEE2"/>
              <w:bottom w:val="single" w:sz="3" w:color="D9DEE2"/>
              <w:end w:val="single" w:sz="3" w:color="D9DEE2"/>
            </w:tcBorders>
          </w:tcPr>
          <w:p>
            <w:r>
              <w:rPr>
                <w:rFonts w:ascii="Lato" w:hAnsi="Lato"/>
                <w:b/>
                <w:color w:val="4D2A6A"/>
                <w:sz w:val="18"/>
              </w:rPr>
              <w:t>ISKCON GBC — 1989 Resolutions</w:t>
              <w:br/>
            </w:r>
            <w:r>
              <w:rPr>
                <w:rFonts w:ascii="Noto Serif" w:hAnsi="Noto Serif"/>
                <w:color w:val="202124"/>
                <w:sz w:val="16"/>
              </w:rPr>
              <w:t>Deity-worship standards and handbook were assigned to authorised research and GBC approval.</w:t>
              <w:br/>
            </w:r>
            <w:hyperlink r:id="rId30">
              <w:r>
                <w:rPr>
                  <w:rFonts w:ascii="Lato" w:hAnsi="Lato"/>
                  <w:color w:val="3B5F9A"/>
                  <w:u w:val="single"/>
                </w:rPr>
                <w:t>Open source</w:t>
              </w:r>
            </w:hyperlink>
          </w:p>
        </w:tc>
      </w:tr>
    </w:tbl>
    <w:p>
      <w:pPr>
        <w:spacing w:after="0"/>
      </w:pPr>
    </w:p>
    <w:p>
      <w:pPr>
        <w:pStyle w:val="Heading2"/>
      </w:pPr>
      <w:r>
        <w:t>Final Implementation Decision</w:t>
      </w:r>
    </w:p>
    <w:tbl>
      <w:tblPr>
        <w:tblW w:type="auto" w:w="0"/>
        <w:jc w:val="center"/>
        <w:tblLayout w:type="fixed"/>
        <w:tblLook w:firstColumn="1" w:firstRow="1" w:lastColumn="0" w:lastRow="0" w:noHBand="0" w:noVBand="1" w:val="04A0"/>
      </w:tblPr>
      <w:tblGrid>
        <w:gridCol w:w="5083"/>
        <w:gridCol w:w="5083"/>
      </w:tblGrid>
      <w:tr>
        <w:trPr>
          <w:cantSplit/>
        </w:trPr>
        <w:tc>
          <w:tcPr>
            <w:tcW w:type="dxa" w:w="1655"/>
            <w:shd w:fill="2F6F55"/>
            <w:tcMar>
              <w:top w:w="120" w:type="dxa"/>
              <w:start w:w="120" w:type="dxa"/>
              <w:bottom w:w="120" w:type="dxa"/>
              <w:end w:w="120" w:type="dxa"/>
            </w:tcMar>
            <w:tcBorders>
              <w:top w:val="single" w:sz="6" w:color="2F6F55"/>
              <w:start w:val="single" w:sz="6" w:color="2F6F55"/>
              <w:bottom w:val="single" w:sz="6" w:color="2F6F55"/>
              <w:end w:val="single" w:sz="6" w:color="2F6F55"/>
            </w:tcBorders>
          </w:tcPr>
          <w:p>
            <w:pPr>
              <w:jc w:val="center"/>
            </w:pPr>
            <w:r>
              <w:rPr>
                <w:rFonts w:ascii="Lato" w:hAnsi="Lato"/>
                <w:b/>
                <w:color w:val="FFFFFF"/>
                <w:sz w:val="16"/>
              </w:rPr>
              <w:t>APPROVED PRACTICE</w:t>
            </w:r>
          </w:p>
        </w:tc>
        <w:tc>
          <w:tcPr>
            <w:tcW w:type="dxa" w:w="8496"/>
            <w:shd w:fill="EAF4EE"/>
            <w:tcMar>
              <w:top w:w="120" w:type="dxa"/>
              <w:start w:w="120" w:type="dxa"/>
              <w:bottom w:w="120" w:type="dxa"/>
              <w:end w:w="120" w:type="dxa"/>
            </w:tcMar>
            <w:tcBorders>
              <w:top w:val="single" w:sz="6" w:color="2F6F55"/>
              <w:start w:val="single" w:sz="6" w:color="2F6F55"/>
              <w:bottom w:val="single" w:sz="6" w:color="2F6F55"/>
              <w:end w:val="single" w:sz="6" w:color="2F6F55"/>
            </w:tcBorders>
          </w:tcPr>
          <w:p>
            <w:r>
              <w:rPr>
                <w:rFonts w:ascii="Lato" w:hAnsi="Lato"/>
                <w:b/>
                <w:color w:val="2F6F55"/>
                <w:sz w:val="20"/>
              </w:rPr>
              <w:t>Proceed with a staged launch</w:t>
              <w:br/>
            </w:r>
            <w:r>
              <w:rPr>
                <w:rFonts w:ascii="Noto Serif" w:hAnsi="Noto Serif"/>
                <w:color w:val="202124"/>
                <w:sz w:val="19"/>
              </w:rPr>
              <w:t>Approve the Tier 0 prayer canon, Friday no-flame launch order, sound controls, leader pathway and first four low-risk laboratories first. Begin restricted worship only after the reviewing authority, exact procedure, trainer, venue controls and named servants are all in place.</w:t>
            </w:r>
          </w:p>
        </w:tc>
      </w:tr>
    </w:tbl>
    <w:p>
      <w:pPr>
        <w:spacing w:after="0"/>
      </w:pPr>
    </w:p>
    <w:p>
      <w:pPr>
        <w:pStyle w:val="BodyText"/>
        <w:spacing w:after="80"/>
      </w:pPr>
      <w:r>
        <w:rPr>
          <w:rFonts w:ascii="Noto Serif" w:hAnsi="Noto Serif"/>
          <w:i/>
          <w:color w:val="5B6268"/>
          <w:sz w:val="20"/>
        </w:rPr>
        <w:t>This manual should be treated as the source framework for Chat 7. Family-facing prayer sheets, trainer guides and exact worship appendices should be generated only from its approved, version-controlled components.</w:t>
      </w:r>
    </w:p>
    <w:p>
      <w:pPr>
        <w:spacing w:before="240"/>
        <w:jc w:val="center"/>
      </w:pPr>
      <w:hyperlink w:anchor="toc">
        <w:r>
          <w:rPr>
            <w:rFonts w:ascii="Lato" w:hAnsi="Lato"/>
            <w:color w:val="4D2A6A"/>
            <w:u w:val="single"/>
          </w:rPr>
          <w:t>Return to Table of Contents</w:t>
        </w:r>
      </w:hyperlink>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76"/>
      <w:gridCol w:w="5076"/>
    </w:tblGrid>
    <w:tr>
      <w:tc>
        <w:tcPr>
          <w:tcW w:type="dxa" w:w="7920"/>
        </w:tcPr>
        <w:p>
          <w:r>
            <w:rPr>
              <w:rFonts w:ascii="Lato" w:hAnsi="Lato"/>
              <w:color w:val="5B6268"/>
              <w:sz w:val="14"/>
            </w:rPr>
            <w:t>Working framework • Exact worship procedures require qualified ISKCON review</w:t>
          </w:r>
        </w:p>
      </w:tc>
      <w:tc>
        <w:tcPr>
          <w:tcW w:type="dxa" w:w="2232"/>
        </w:tcPr>
        <w:p>
          <w:pPr>
            <w:jc w:val="right"/>
          </w:pPr>
          <w:r>
            <w:rPr>
              <w:rFonts w:ascii="Lato" w:hAnsi="Lato"/>
              <w:color w:val="5B6268"/>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D5A93A"/>
      </w:pBdr>
    </w:pPr>
    <w:r>
      <w:rPr>
        <w:rFonts w:ascii="Lato" w:hAnsi="Lato"/>
        <w:b/>
        <w:color w:val="4D2A6A"/>
        <w:sz w:val="15"/>
      </w:rPr>
      <w:t>KUTUMBA  |  KĪRTANA • WORSHIP • PRAYERS • BHAKTI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erif" w:hAnsi="Noto Serif"/>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ato" w:hAnsi="Lato"/>
      <w:b/>
      <w:bCs/>
      <w:color w:val="351A4A"/>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ato" w:hAnsi="Lato"/>
      <w:b/>
      <w:bCs/>
      <w:color w:val="4D2A6A"/>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2F77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Noto Serif" w:hAnsi="Noto Serif"/>
      <w:color w:val="202124"/>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Noto Serif" w:hAnsi="Noto Serif"/>
      <w:sz w:val="20"/>
    </w:rPr>
  </w:style>
  <w:style w:type="paragraph" w:styleId="ListBullet2">
    <w:name w:val="List Bullet 2"/>
    <w:basedOn w:val="Normal"/>
    <w:uiPriority w:val="99"/>
    <w:unhideWhenUsed/>
    <w:rsid w:val="00326F90"/>
    <w:pPr>
      <w:numPr>
        <w:numId w:val="2"/>
      </w:numPr>
      <w:spacing w:after="30"/>
      <w:contextualSpacing/>
    </w:pPr>
    <w:rPr>
      <w:rFonts w:ascii="Noto Serif" w:hAnsi="Noto Seri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Noto Serif" w:hAnsi="Noto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bc.iskcon.org/gbc_res/GBCRES14.html" TargetMode="External"/><Relationship Id="rId17" Type="http://schemas.openxmlformats.org/officeDocument/2006/relationships/hyperlink" Target="https://iskconkirtanministry.com/kirtan-standards-resolutions/" TargetMode="External"/><Relationship Id="rId18" Type="http://schemas.openxmlformats.org/officeDocument/2006/relationships/hyperlink" Target="https://deityworship.com/wp-content/uploads/2021/06/Syllabus-document.pdf" TargetMode="External"/><Relationship Id="rId19" Type="http://schemas.openxmlformats.org/officeDocument/2006/relationships/hyperlink" Target="https://deityworship.com/offering-food/" TargetMode="External"/><Relationship Id="rId20" Type="http://schemas.openxmlformats.org/officeDocument/2006/relationships/hyperlink" Target="https://deityworship.com/arati/" TargetMode="External"/><Relationship Id="rId21" Type="http://schemas.openxmlformats.org/officeDocument/2006/relationships/hyperlink" Target="https://deityworship.com/installation-guide/" TargetMode="External"/><Relationship Id="rId22" Type="http://schemas.openxmlformats.org/officeDocument/2006/relationships/hyperlink" Target="https://vedabase.io/en/library/cc/antya/20/" TargetMode="External"/><Relationship Id="rId23" Type="http://schemas.openxmlformats.org/officeDocument/2006/relationships/hyperlink" Target="https://vedabase.io/en/library/cc/antya/3/137/" TargetMode="External"/><Relationship Id="rId24" Type="http://schemas.openxmlformats.org/officeDocument/2006/relationships/hyperlink" Target="https://vedabase.io/en/library/sb/7/5/23-24/" TargetMode="External"/><Relationship Id="rId25" Type="http://schemas.openxmlformats.org/officeDocument/2006/relationships/hyperlink" Target="https://www.cdc.gov/niosh/noise/prevent/understand.html" TargetMode="External"/><Relationship Id="rId26" Type="http://schemas.openxmlformats.org/officeDocument/2006/relationships/hyperlink" Target="https://www.cdc.gov/hearing-loss-children/about/preventing-noise-induced-hearing-loss.html" TargetMode="External"/><Relationship Id="rId27" Type="http://schemas.openxmlformats.org/officeDocument/2006/relationships/hyperlink" Target="https://www.nfpa.org/downloadable-resources/safety-tip-sheets/religious-candle-safety-tip-sheet" TargetMode="External"/><Relationship Id="rId28" Type="http://schemas.openxmlformats.org/officeDocument/2006/relationships/hyperlink" Target="https://vedabase.io/en/library/transcripts/710720pu-new-york/" TargetMode="External"/><Relationship Id="rId29" Type="http://schemas.openxmlformats.org/officeDocument/2006/relationships/hyperlink" Target="https://deityworship.com/faqs/" TargetMode="External"/><Relationship Id="rId30" Type="http://schemas.openxmlformats.org/officeDocument/2006/relationships/hyperlink" Target="https://gbc.iskcon.org/1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 Kīrtana, Worship, Prayers and Bhakti Laboratories</dc:title>
  <dc:subject>Chat 7 Operating Manual</dc:subject>
  <dc:creator>KUTUMBA Documentation Team</dc:creator>
  <cp:keywords>KUTUMBA, ISKCON, kirtana, worship, prayers, bhakti laboratory, family program</cp:keywords>
  <dc:description>Working framework. Exact worship procedures require qualified ISKCON approval.</dc:description>
  <cp:lastModifiedBy/>
  <cp:revision>1</cp:revision>
  <dcterms:created xsi:type="dcterms:W3CDTF">2013-12-23T23:15:00Z</dcterms:created>
  <dcterms:modified xsi:type="dcterms:W3CDTF">2013-12-23T23:15:00Z</dcterms:modified>
  <cp:category/>
</cp:coreProperties>
</file>