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9791A8"/>
          <w:spacing w:val="24"/>
          <w:sz w:val="16"/>
          <w:szCs w:val="16"/>
        </w:rPr>
        <w:t xml:space="preserve">EXECUTIVE BRIEFING</w:t>
      </w:r>
    </w:p>
    <w:p>
      <w:pPr>
        <w:spacing w:after="160"/>
      </w:pPr>
      <w:r>
        <w:rPr>
          <w:rFonts w:ascii="Georgia" w:cs="Georgia" w:eastAsia="Georgia" w:hAnsi="Georgia"/>
          <w:b/>
          <w:bCs/>
          <w:color w:val="17142A"/>
          <w:sz w:val="68"/>
          <w:szCs w:val="68"/>
        </w:rPr>
        <w:t xml:space="preserve">Charter</w:t>
      </w:r>
    </w:p>
    <w:p>
      <w:pPr>
        <w:spacing w:after="240"/>
      </w:pPr>
      <w:r>
        <w:rPr>
          <w:rFonts w:ascii="Calibri" w:cs="Calibri" w:eastAsia="Calibri" w:hAnsi="Calibri"/>
          <w:color w:val="655E78"/>
          <w:sz w:val="26"/>
          <w:szCs w:val="26"/>
        </w:rPr>
        <w:t xml:space="preserve">An internal AI system that reads a Business Requirements Document and drafts a scored, build-ready delivery plan — engineering plan, schedule, architecture, proof-of-concept scope, and technology options — in about ten minutes.</w:t>
      </w:r>
    </w:p>
    <w:p>
      <w:pPr>
        <w:spacing w:after="60"/>
      </w:pPr>
      <w:r>
        <w:rPr>
          <w:color w:val="157A3D"/>
          <w:sz w:val="18"/>
          <w:szCs w:val="18"/>
        </w:rPr>
        <w:t xml:space="preserve">●  </w:t>
      </w:r>
      <w:r>
        <w:rPr>
          <w:rFonts w:ascii="Consolas" w:cs="Consolas" w:eastAsia="Consolas" w:hAnsi="Consolas"/>
          <w:b/>
          <w:bCs/>
          <w:color w:val="157A3D"/>
          <w:sz w:val="16"/>
          <w:szCs w:val="16"/>
        </w:rPr>
        <w:t xml:space="preserve">LIVE · AZURE, CENTRAL INDIA</w:t>
      </w:r>
      <w:r>
        <w:rPr>
          <w:rFonts w:ascii="Consolas" w:cs="Consolas" w:eastAsia="Consolas" w:hAnsi="Consolas"/>
          <w:b/>
          <w:bCs/>
          <w:color w:val="9791A8"/>
          <w:sz w:val="16"/>
          <w:szCs w:val="16"/>
        </w:rPr>
        <w:t xml:space="preserve">     SINGLE-INSTANCE INTERNAL TOOL</w:t>
      </w:r>
      <w:r>
        <w:rPr>
          <w:rFonts w:ascii="Consolas" w:cs="Consolas" w:eastAsia="Consolas" w:hAnsi="Consolas"/>
          <w:b/>
          <w:bCs/>
          <w:color w:val="9791A8"/>
          <w:sz w:val="16"/>
          <w:szCs w:val="16"/>
        </w:rPr>
        <w:t xml:space="preserve">     POWERED BY OPENAI GPT-4.1</w:t>
      </w:r>
    </w:p>
    <w:p>
      <w:pPr>
        <w:pBdr>
          <w:bottom w:val="single" w:color="D9D3EC" w:sz="4" w:space="1"/>
        </w:pBdr>
        <w:spacing w:after="120" w:before="120"/>
      </w:pPr>
    </w:p>
    <w:p>
      <w:pPr>
        <w:spacing w:after="60" w:before="320"/>
      </w:pPr>
      <w:r>
        <w:rPr>
          <w:rFonts w:ascii="Calibri" w:cs="Calibri" w:eastAsia="Calibri" w:hAnsi="Calibri"/>
          <w:b/>
          <w:bCs/>
          <w:color w:val="4F46E5"/>
          <w:spacing w:val="20"/>
          <w:sz w:val="16"/>
          <w:szCs w:val="16"/>
        </w:rPr>
        <w:t xml:space="preserve">THE PROBLEM</w:t>
      </w:r>
    </w:p>
    <w:p>
      <w:pPr>
        <w:pStyle w:val="Heading1"/>
        <w:spacing w:after="160"/>
      </w:pPr>
      <w:r>
        <w:rPr>
          <w:rFonts w:ascii="Georgia" w:cs="Georgia" w:eastAsia="Georgia" w:hAnsi="Georgia"/>
          <w:b/>
          <w:bCs/>
          <w:color w:val="17142A"/>
          <w:sz w:val="32"/>
          <w:szCs w:val="32"/>
        </w:rPr>
        <w:t xml:space="preserve">Turning a BRD into a delivery plan is slow, manual, and inconsistent</w:t>
      </w:r>
    </w:p>
    <w:p>
      <w:pPr>
        <w:spacing w:after="180"/>
      </w:pPr>
      <w:r>
        <w:rPr>
          <w:rFonts w:ascii="Calibri" w:cs="Calibri" w:eastAsia="Calibri" w:hAnsi="Calibri"/>
          <w:color w:val="17142A"/>
          <w:sz w:val="22"/>
          <w:szCs w:val="22"/>
        </w:rPr>
        <w:t xml:space="preserve">Once a Business Requirements Document is signed off, an Engineering Manager still has to hand-produce five separate artifacts before a team can start: a phased plan, an effort and schedule estimate, a solution architecture, a proof-of-concept scope, and a technology recommendation. Each depends on the others, each should reflect the organization's own patterns and standards, and today none of that is checked before it lands on a manager's desk.</w:t>
      </w:r>
    </w:p>
    <w:p>
      <w:pPr>
        <w:spacing w:after="180"/>
      </w:pPr>
      <w:r>
        <w:rPr>
          <w:rFonts w:ascii="Calibri" w:cs="Calibri" w:eastAsia="Calibri" w:hAnsi="Calibri"/>
          <w:color w:val="17142A"/>
          <w:sz w:val="22"/>
          <w:szCs w:val="22"/>
        </w:rPr>
        <w:t xml:space="preserve">That work typically takes days, its quality depends on who happens to write it, and there is no consistent way to confirm a plan actually covers every requirement or matches how the organization has built similar things before. Charter automates the first draft of that work and grounds it in the organization's own knowledge — then scores it before a person ever sees it.</w:t>
      </w:r>
    </w:p>
    <w:p>
      <w:pPr>
        <w:spacing w:after="60" w:before="320"/>
      </w:pPr>
      <w:r>
        <w:rPr>
          <w:rFonts w:ascii="Calibri" w:cs="Calibri" w:eastAsia="Calibri" w:hAnsi="Calibri"/>
          <w:b/>
          <w:bCs/>
          <w:color w:val="4F46E5"/>
          <w:spacing w:val="20"/>
          <w:sz w:val="16"/>
          <w:szCs w:val="16"/>
        </w:rPr>
        <w:t xml:space="preserve">HOW IT WORKS</w:t>
      </w:r>
    </w:p>
    <w:p>
      <w:pPr>
        <w:pStyle w:val="Heading1"/>
        <w:spacing w:after="160"/>
      </w:pPr>
      <w:r>
        <w:rPr>
          <w:rFonts w:ascii="Georgia" w:cs="Georgia" w:eastAsia="Georgia" w:hAnsi="Georgia"/>
          <w:b/>
          <w:bCs/>
          <w:color w:val="17142A"/>
          <w:sz w:val="32"/>
          <w:szCs w:val="32"/>
        </w:rPr>
        <w:t xml:space="preserve">One BRD in, a scored delivery plan out</w:t>
      </w:r>
    </w:p>
    <w:p>
      <w:pPr>
        <w:spacing w:after="180"/>
      </w:pPr>
      <w:r>
        <w:rPr>
          <w:rFonts w:ascii="Calibri" w:cs="Calibri" w:eastAsia="Calibri" w:hAnsi="Calibri"/>
          <w:color w:val="17142A"/>
          <w:sz w:val="22"/>
          <w:szCs w:val="22"/>
        </w:rPr>
        <w:t xml:space="preserve">A pipeline of purpose-built AI roles carries the document from raw text to a reviewed set of deliverables, with an automatic revision loop before anything is marked done.</w:t>
      </w:r>
    </w:p>
    <w:p>
      <w:pPr>
        <w:spacing w:after="60"/>
      </w:pPr>
      <w:r>
        <w:rPr>
          <w:rFonts w:ascii="Consolas" w:cs="Consolas" w:eastAsia="Consolas" w:hAnsi="Consolas"/>
          <w:b/>
          <w:bCs/>
          <w:color w:val="17142A"/>
          <w:sz w:val="19"/>
          <w:szCs w:val="19"/>
        </w:rPr>
        <w:t xml:space="preserve">01  Ingest &amp; parse</w:t>
      </w:r>
      <w:r>
        <w:rPr>
          <w:color w:val="9791A8"/>
          <w:sz w:val="19"/>
          <w:szCs w:val="19"/>
        </w:rPr>
        <w:t xml:space="preserve">   →   </w:t>
      </w:r>
      <w:r>
        <w:rPr>
          <w:rFonts w:ascii="Consolas" w:cs="Consolas" w:eastAsia="Consolas" w:hAnsi="Consolas"/>
          <w:b/>
          <w:bCs/>
          <w:color w:val="17142A"/>
          <w:sz w:val="19"/>
          <w:szCs w:val="19"/>
        </w:rPr>
        <w:t xml:space="preserve">02  Orchestrate</w:t>
      </w:r>
      <w:r>
        <w:rPr>
          <w:color w:val="9791A8"/>
          <w:sz w:val="19"/>
          <w:szCs w:val="19"/>
        </w:rPr>
        <w:t xml:space="preserve">   →   </w:t>
      </w:r>
      <w:r>
        <w:rPr>
          <w:rFonts w:ascii="Consolas" w:cs="Consolas" w:eastAsia="Consolas" w:hAnsi="Consolas"/>
          <w:b/>
          <w:bCs/>
          <w:color w:val="17142A"/>
          <w:sz w:val="19"/>
          <w:szCs w:val="19"/>
        </w:rPr>
        <w:t xml:space="preserve">03  Engineering plan</w:t>
      </w:r>
      <w:r>
        <w:rPr>
          <w:color w:val="9791A8"/>
          <w:sz w:val="19"/>
          <w:szCs w:val="19"/>
        </w:rPr>
        <w:t xml:space="preserve">   →   </w:t>
      </w:r>
      <w:r>
        <w:rPr>
          <w:rFonts w:ascii="Consolas" w:cs="Consolas" w:eastAsia="Consolas" w:hAnsi="Consolas"/>
          <w:b/>
          <w:bCs/>
          <w:color w:val="17142A"/>
          <w:sz w:val="19"/>
          <w:szCs w:val="19"/>
        </w:rPr>
        <w:t xml:space="preserve">04  Schedule</w:t>
      </w:r>
      <w:r>
        <w:rPr>
          <w:color w:val="9791A8"/>
          <w:sz w:val="19"/>
          <w:szCs w:val="19"/>
        </w:rPr>
        <w:t xml:space="preserve">   →   </w:t>
      </w:r>
      <w:r>
        <w:rPr>
          <w:rFonts w:ascii="Consolas" w:cs="Consolas" w:eastAsia="Consolas" w:hAnsi="Consolas"/>
          <w:b/>
          <w:bCs/>
          <w:color w:val="17142A"/>
          <w:sz w:val="19"/>
          <w:szCs w:val="19"/>
        </w:rPr>
        <w:t xml:space="preserve">05  Architecture</w:t>
      </w:r>
      <w:r>
        <w:rPr>
          <w:color w:val="9791A8"/>
          <w:sz w:val="19"/>
          <w:szCs w:val="19"/>
        </w:rPr>
        <w:t xml:space="preserve">   →   </w:t>
      </w:r>
      <w:r>
        <w:rPr>
          <w:rFonts w:ascii="Consolas" w:cs="Consolas" w:eastAsia="Consolas" w:hAnsi="Consolas"/>
          <w:b/>
          <w:bCs/>
          <w:color w:val="17142A"/>
          <w:sz w:val="19"/>
          <w:szCs w:val="19"/>
        </w:rPr>
        <w:t xml:space="preserve">06  PoC plan</w:t>
      </w:r>
      <w:r>
        <w:rPr>
          <w:color w:val="9791A8"/>
          <w:sz w:val="19"/>
          <w:szCs w:val="19"/>
        </w:rPr>
        <w:t xml:space="preserve">   →   </w:t>
      </w:r>
      <w:r>
        <w:rPr>
          <w:rFonts w:ascii="Consolas" w:cs="Consolas" w:eastAsia="Consolas" w:hAnsi="Consolas"/>
          <w:b/>
          <w:bCs/>
          <w:color w:val="17142A"/>
          <w:sz w:val="19"/>
          <w:szCs w:val="19"/>
        </w:rPr>
        <w:t xml:space="preserve">07  Tech stack</w:t>
      </w:r>
      <w:r>
        <w:rPr>
          <w:color w:val="9791A8"/>
          <w:sz w:val="19"/>
          <w:szCs w:val="19"/>
        </w:rPr>
        <w:t xml:space="preserve">   →   </w:t>
      </w:r>
      <w:r>
        <w:rPr>
          <w:rFonts w:ascii="Consolas" w:cs="Consolas" w:eastAsia="Consolas" w:hAnsi="Consolas"/>
          <w:b/>
          <w:bCs/>
          <w:color w:val="17142A"/>
          <w:sz w:val="19"/>
          <w:szCs w:val="19"/>
        </w:rPr>
        <w:t xml:space="preserve">08  Critic review</w:t>
      </w:r>
      <w:r>
        <w:rPr>
          <w:color w:val="9791A8"/>
          <w:sz w:val="19"/>
          <w:szCs w:val="19"/>
        </w:rPr>
        <w:t xml:space="preserve">   →   </w:t>
      </w:r>
      <w:r>
        <w:rPr>
          <w:rFonts w:ascii="Consolas" w:cs="Consolas" w:eastAsia="Consolas" w:hAnsi="Consolas"/>
          <w:b/>
          <w:bCs/>
          <w:color w:val="17142A"/>
          <w:sz w:val="19"/>
          <w:szCs w:val="19"/>
        </w:rPr>
        <w:t xml:space="preserve">09  Assemble</w:t>
      </w:r>
    </w:p>
    <w:p>
      <w:pPr>
        <w:spacing w:after="200" w:before="100"/>
      </w:pPr>
      <w:r>
        <w:rPr>
          <w:rFonts w:ascii="Calibri" w:cs="Calibri" w:eastAsia="Calibri" w:hAnsi="Calibri"/>
          <w:i/>
          <w:iCs/>
          <w:color w:val="A85A06"/>
          <w:sz w:val="20"/>
          <w:szCs w:val="20"/>
        </w:rPr>
        <w:t xml:space="preserve">↺  Any deliverable scoring below the bar is sent back for revision — up to twice — before assembly.</w:t>
      </w:r>
    </w:p>
    <w:p>
      <w:pPr>
        <w:spacing w:after="60" w:before="320"/>
      </w:pPr>
      <w:r>
        <w:rPr>
          <w:rFonts w:ascii="Calibri" w:cs="Calibri" w:eastAsia="Calibri" w:hAnsi="Calibri"/>
          <w:b/>
          <w:bCs/>
          <w:color w:val="4F46E5"/>
          <w:spacing w:val="20"/>
          <w:sz w:val="16"/>
          <w:szCs w:val="16"/>
        </w:rPr>
        <w:t xml:space="preserve">WHAT MAKES IT RELIABLE</w:t>
      </w:r>
    </w:p>
    <w:p>
      <w:pPr>
        <w:pStyle w:val="Heading1"/>
        <w:spacing w:after="160"/>
      </w:pPr>
      <w:r>
        <w:rPr>
          <w:rFonts w:ascii="Georgia" w:cs="Georgia" w:eastAsia="Georgia" w:hAnsi="Georgia"/>
          <w:b/>
          <w:bCs/>
          <w:color w:val="17142A"/>
          <w:sz w:val="32"/>
          <w:szCs w:val="32"/>
        </w:rPr>
        <w:t xml:space="preserve">Four disciplines, working together</w:t>
      </w:r>
    </w:p>
    <w:p>
      <w:pPr>
        <w:spacing w:after="20" w:before="140"/>
      </w:pPr>
      <w:r>
        <w:rPr>
          <w:rFonts w:ascii="Consolas" w:cs="Consolas" w:eastAsia="Consolas" w:hAnsi="Consolas"/>
          <w:b/>
          <w:bCs/>
          <w:color w:val="4F46E5"/>
          <w:sz w:val="19"/>
          <w:szCs w:val="19"/>
        </w:rPr>
        <w:t xml:space="preserve">01  </w:t>
      </w:r>
      <w:r>
        <w:rPr>
          <w:rFonts w:ascii="Calibri" w:cs="Calibri" w:eastAsia="Calibri" w:hAnsi="Calibri"/>
          <w:b/>
          <w:bCs/>
          <w:color w:val="17142A"/>
          <w:sz w:val="22"/>
          <w:szCs w:val="22"/>
        </w:rPr>
        <w:t xml:space="preserve">Ingestion &amp; parsing</w:t>
      </w:r>
    </w:p>
    <w:p>
      <w:pPr>
        <w:spacing w:after="180"/>
      </w:pPr>
      <w:r>
        <w:rPr>
          <w:rFonts w:ascii="Calibri" w:cs="Calibri" w:eastAsia="Calibri" w:hAnsi="Calibri"/>
          <w:color w:val="655E78"/>
          <w:sz w:val="22"/>
          <w:szCs w:val="22"/>
        </w:rPr>
        <w:t xml:space="preserve">Reads the uploaded document, splits it into sections, and classifies every sentence as functional, non-functional, a constraint, or an assumption — flagging anything ambiguous.</w:t>
      </w:r>
    </w:p>
    <w:p>
      <w:pPr>
        <w:spacing w:after="20" w:before="140"/>
      </w:pPr>
      <w:r>
        <w:rPr>
          <w:rFonts w:ascii="Consolas" w:cs="Consolas" w:eastAsia="Consolas" w:hAnsi="Consolas"/>
          <w:b/>
          <w:bCs/>
          <w:color w:val="4F46E5"/>
          <w:sz w:val="19"/>
          <w:szCs w:val="19"/>
        </w:rPr>
        <w:t xml:space="preserve">02  </w:t>
      </w:r>
      <w:r>
        <w:rPr>
          <w:rFonts w:ascii="Calibri" w:cs="Calibri" w:eastAsia="Calibri" w:hAnsi="Calibri"/>
          <w:b/>
          <w:bCs/>
          <w:color w:val="17142A"/>
          <w:sz w:val="22"/>
          <w:szCs w:val="22"/>
        </w:rPr>
        <w:t xml:space="preserve">Knowledge grounding</w:t>
      </w:r>
    </w:p>
    <w:p>
      <w:pPr>
        <w:spacing w:after="180"/>
      </w:pPr>
      <w:r>
        <w:rPr>
          <w:rFonts w:ascii="Calibri" w:cs="Calibri" w:eastAsia="Calibri" w:hAnsi="Calibri"/>
          <w:color w:val="655E78"/>
          <w:sz w:val="22"/>
          <w:szCs w:val="22"/>
        </w:rPr>
        <w:t xml:space="preserve">Every agent retrieves relevant material from the organization's own past BRDs, templates, architecture patterns, and technology standards before it writes a word.</w:t>
      </w:r>
    </w:p>
    <w:p>
      <w:pPr>
        <w:spacing w:after="20" w:before="140"/>
      </w:pPr>
      <w:r>
        <w:rPr>
          <w:rFonts w:ascii="Consolas" w:cs="Consolas" w:eastAsia="Consolas" w:hAnsi="Consolas"/>
          <w:b/>
          <w:bCs/>
          <w:color w:val="4F46E5"/>
          <w:sz w:val="19"/>
          <w:szCs w:val="19"/>
        </w:rPr>
        <w:t xml:space="preserve">03  </w:t>
      </w:r>
      <w:r>
        <w:rPr>
          <w:rFonts w:ascii="Calibri" w:cs="Calibri" w:eastAsia="Calibri" w:hAnsi="Calibri"/>
          <w:b/>
          <w:bCs/>
          <w:color w:val="17142A"/>
          <w:sz w:val="22"/>
          <w:szCs w:val="22"/>
        </w:rPr>
        <w:t xml:space="preserve">Multi-agent generation</w:t>
      </w:r>
    </w:p>
    <w:p>
      <w:pPr>
        <w:spacing w:after="180"/>
      </w:pPr>
      <w:r>
        <w:rPr>
          <w:rFonts w:ascii="Calibri" w:cs="Calibri" w:eastAsia="Calibri" w:hAnsi="Calibri"/>
          <w:color w:val="655E78"/>
          <w:sz w:val="22"/>
          <w:szCs w:val="22"/>
        </w:rPr>
        <w:t xml:space="preserve">Five specialists each produce one deliverable, building on each other's output — the schedule reads the plan's phases, the PoC reads the architecture's components.</w:t>
      </w:r>
    </w:p>
    <w:p>
      <w:pPr>
        <w:spacing w:after="20" w:before="140"/>
      </w:pPr>
      <w:r>
        <w:rPr>
          <w:rFonts w:ascii="Consolas" w:cs="Consolas" w:eastAsia="Consolas" w:hAnsi="Consolas"/>
          <w:b/>
          <w:bCs/>
          <w:color w:val="4F46E5"/>
          <w:sz w:val="19"/>
          <w:szCs w:val="19"/>
        </w:rPr>
        <w:t xml:space="preserve">04  </w:t>
      </w:r>
      <w:r>
        <w:rPr>
          <w:rFonts w:ascii="Calibri" w:cs="Calibri" w:eastAsia="Calibri" w:hAnsi="Calibri"/>
          <w:b/>
          <w:bCs/>
          <w:color w:val="17142A"/>
          <w:sz w:val="22"/>
          <w:szCs w:val="22"/>
        </w:rPr>
        <w:t xml:space="preserve">Validation &amp; evaluation</w:t>
      </w:r>
    </w:p>
    <w:p>
      <w:pPr>
        <w:spacing w:after="180"/>
      </w:pPr>
      <w:r>
        <w:rPr>
          <w:rFonts w:ascii="Calibri" w:cs="Calibri" w:eastAsia="Calibri" w:hAnsi="Calibri"/>
          <w:color w:val="655E78"/>
          <w:sz w:val="22"/>
          <w:szCs w:val="22"/>
        </w:rPr>
        <w:t xml:space="preserve">A Critic scores every deliverable against the organization's own bar and forces revisions — nothing reaches the Engineering Manager unreviewed.</w:t>
      </w:r>
    </w:p>
    <w:p>
      <w:pPr>
        <w:spacing w:after="60" w:before="320"/>
      </w:pPr>
      <w:r>
        <w:rPr>
          <w:rFonts w:ascii="Calibri" w:cs="Calibri" w:eastAsia="Calibri" w:hAnsi="Calibri"/>
          <w:b/>
          <w:bCs/>
          <w:color w:val="4F46E5"/>
          <w:spacing w:val="20"/>
          <w:sz w:val="16"/>
          <w:szCs w:val="16"/>
        </w:rPr>
        <w:t xml:space="preserve">THE ROSTER</w:t>
      </w:r>
    </w:p>
    <w:p>
      <w:pPr>
        <w:pStyle w:val="Heading1"/>
        <w:spacing w:after="160"/>
      </w:pPr>
      <w:r>
        <w:rPr>
          <w:rFonts w:ascii="Georgia" w:cs="Georgia" w:eastAsia="Georgia" w:hAnsi="Georgia"/>
          <w:b/>
          <w:bCs/>
          <w:color w:val="17142A"/>
          <w:sz w:val="32"/>
          <w:szCs w:val="32"/>
        </w:rPr>
        <w:t xml:space="preserve">Eight AI roles, each doing one job</w:t>
      </w:r>
    </w:p>
    <w:p>
      <w:pPr>
        <w:spacing w:after="180"/>
      </w:pPr>
      <w:r>
        <w:rPr>
          <w:rFonts w:ascii="Calibri" w:cs="Calibri" w:eastAsia="Calibri" w:hAnsi="Calibri"/>
          <w:color w:val="17142A"/>
          <w:sz w:val="22"/>
          <w:szCs w:val="22"/>
        </w:rPr>
        <w:t xml:space="preserve">Modeled on how a real planning team divides the work — a coordinator, five specialists, and a reviewer — with the model choice for each role matched to how demanding its task 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c>
          <w:tcPr>
            <w:tcW w:type="dxa" w:w="2500"/>
            <w:tcBorders>
              <w:top w:val="none" w:color="FFFFFF" w:sz="0"/>
              <w:left w:val="none" w:color="FFFFFF" w:sz="0"/>
              <w:bottom w:val="single" w:color="17142A" w:sz="6"/>
              <w:right w:val="none" w:color="FFFFFF" w:sz="0"/>
            </w:tcBorders>
            <w:shd w:fill="FFFFFF" w:val="clear"/>
            <w:tcMar>
              <w:top w:type="dxa" w:w="80"/>
              <w:left w:type="dxa" w:w="100"/>
              <w:bottom w:type="dxa" w:w="80"/>
              <w:right w:type="dxa" w:w="100"/>
            </w:tcMar>
          </w:tcPr>
          <w:p>
            <w:pPr>
              <w:jc w:val="left"/>
            </w:pPr>
            <w:r>
              <w:rPr>
                <w:rFonts w:ascii="Calibri" w:cs="Calibri" w:eastAsia="Calibri" w:hAnsi="Calibri"/>
                <w:b/>
                <w:bCs/>
                <w:color w:val="9791A8"/>
                <w:spacing w:val="10"/>
                <w:sz w:val="15"/>
                <w:szCs w:val="15"/>
              </w:rPr>
              <w:t xml:space="preserve">ROLE</w:t>
            </w:r>
          </w:p>
        </w:tc>
        <w:tc>
          <w:tcPr>
            <w:tcW w:type="dxa" w:w="5060"/>
            <w:tcBorders>
              <w:top w:val="none" w:color="FFFFFF" w:sz="0"/>
              <w:left w:val="none" w:color="FFFFFF" w:sz="0"/>
              <w:bottom w:val="single" w:color="17142A" w:sz="6"/>
              <w:right w:val="none" w:color="FFFFFF" w:sz="0"/>
            </w:tcBorders>
            <w:shd w:fill="FFFFFF" w:val="clear"/>
            <w:tcMar>
              <w:top w:type="dxa" w:w="80"/>
              <w:left w:type="dxa" w:w="100"/>
              <w:bottom w:type="dxa" w:w="80"/>
              <w:right w:type="dxa" w:w="100"/>
            </w:tcMar>
          </w:tcPr>
          <w:p>
            <w:pPr>
              <w:jc w:val="left"/>
            </w:pPr>
            <w:r>
              <w:rPr>
                <w:rFonts w:ascii="Calibri" w:cs="Calibri" w:eastAsia="Calibri" w:hAnsi="Calibri"/>
                <w:b/>
                <w:bCs/>
                <w:color w:val="9791A8"/>
                <w:spacing w:val="10"/>
                <w:sz w:val="15"/>
                <w:szCs w:val="15"/>
              </w:rPr>
              <w:t xml:space="preserve">RESPONSIBILITY</w:t>
            </w:r>
          </w:p>
        </w:tc>
        <w:tc>
          <w:tcPr>
            <w:tcW w:type="dxa" w:w="1800"/>
            <w:tcBorders>
              <w:top w:val="none" w:color="FFFFFF" w:sz="0"/>
              <w:left w:val="none" w:color="FFFFFF" w:sz="0"/>
              <w:bottom w:val="single" w:color="17142A" w:sz="6"/>
              <w:right w:val="none" w:color="FFFFFF" w:sz="0"/>
            </w:tcBorders>
            <w:shd w:fill="FFFFFF" w:val="clear"/>
            <w:tcMar>
              <w:top w:type="dxa" w:w="80"/>
              <w:left w:type="dxa" w:w="100"/>
              <w:bottom w:type="dxa" w:w="80"/>
              <w:right w:type="dxa" w:w="100"/>
            </w:tcMar>
          </w:tcPr>
          <w:p>
            <w:pPr>
              <w:jc w:val="left"/>
            </w:pPr>
            <w:r>
              <w:rPr>
                <w:rFonts w:ascii="Calibri" w:cs="Calibri" w:eastAsia="Calibri" w:hAnsi="Calibri"/>
                <w:b/>
                <w:bCs/>
                <w:color w:val="9791A8"/>
                <w:spacing w:val="10"/>
                <w:sz w:val="15"/>
                <w:szCs w:val="15"/>
              </w:rPr>
              <w:t xml:space="preserve">MODEL</w:t>
            </w:r>
          </w:p>
        </w:tc>
      </w:tr>
      <w:tr>
        <w:tc>
          <w:tcPr>
            <w:tcW w:type="dxa" w:w="25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bCs/>
                <w:color w:val="17142A"/>
                <w:sz w:val="20"/>
                <w:szCs w:val="20"/>
              </w:rPr>
              <w:t xml:space="preserve">BRD Ingest &amp; Parse</w:t>
            </w:r>
          </w:p>
        </w:tc>
        <w:tc>
          <w:tcPr>
            <w:tcW w:type="dxa" w:w="506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655E78"/>
                <w:sz w:val="20"/>
                <w:szCs w:val="20"/>
              </w:rPr>
              <w:t xml:space="preserve">Reads the document and classifies every requirement</w:t>
            </w:r>
          </w:p>
        </w:tc>
        <w:tc>
          <w:tcPr>
            <w:tcW w:type="dxa" w:w="18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onsolas" w:cs="Consolas" w:eastAsia="Consolas" w:hAnsi="Consolas"/>
                <w:b/>
                <w:bCs/>
                <w:color w:val="4F46E5"/>
                <w:sz w:val="20"/>
                <w:szCs w:val="20"/>
              </w:rPr>
              <w:t xml:space="preserve">GPT-4.1 mini</w:t>
            </w:r>
          </w:p>
        </w:tc>
      </w:tr>
      <w:tr>
        <w:tc>
          <w:tcPr>
            <w:tcW w:type="dxa" w:w="25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bCs/>
                <w:color w:val="17142A"/>
                <w:sz w:val="20"/>
                <w:szCs w:val="20"/>
              </w:rPr>
              <w:t xml:space="preserve">Orchestrator</w:t>
            </w:r>
          </w:p>
        </w:tc>
        <w:tc>
          <w:tcPr>
            <w:tcW w:type="dxa" w:w="506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655E78"/>
                <w:sz w:val="20"/>
                <w:szCs w:val="20"/>
              </w:rPr>
              <w:t xml:space="preserve">Routes sections to specialists and manages the run</w:t>
            </w:r>
          </w:p>
        </w:tc>
        <w:tc>
          <w:tcPr>
            <w:tcW w:type="dxa" w:w="18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onsolas" w:cs="Consolas" w:eastAsia="Consolas" w:hAnsi="Consolas"/>
                <w:b/>
                <w:bCs/>
                <w:color w:val="4F46E5"/>
                <w:sz w:val="20"/>
                <w:szCs w:val="20"/>
              </w:rPr>
              <w:t xml:space="preserve">GPT-4.1</w:t>
            </w:r>
          </w:p>
        </w:tc>
      </w:tr>
      <w:tr>
        <w:tc>
          <w:tcPr>
            <w:tcW w:type="dxa" w:w="25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bCs/>
                <w:color w:val="17142A"/>
                <w:sz w:val="20"/>
                <w:szCs w:val="20"/>
              </w:rPr>
              <w:t xml:space="preserve">Engineering Plan Generator</w:t>
            </w:r>
          </w:p>
        </w:tc>
        <w:tc>
          <w:tcPr>
            <w:tcW w:type="dxa" w:w="506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655E78"/>
                <w:sz w:val="20"/>
                <w:szCs w:val="20"/>
              </w:rPr>
              <w:t xml:space="preserve">Phases, risks, milestones, team composition — with a self-review pass before it hands off</w:t>
            </w:r>
          </w:p>
        </w:tc>
        <w:tc>
          <w:tcPr>
            <w:tcW w:type="dxa" w:w="18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onsolas" w:cs="Consolas" w:eastAsia="Consolas" w:hAnsi="Consolas"/>
                <w:b/>
                <w:bCs/>
                <w:color w:val="4F46E5"/>
                <w:sz w:val="20"/>
                <w:szCs w:val="20"/>
              </w:rPr>
              <w:t xml:space="preserve">GPT-4.1</w:t>
            </w:r>
          </w:p>
        </w:tc>
      </w:tr>
      <w:tr>
        <w:tc>
          <w:tcPr>
            <w:tcW w:type="dxa" w:w="25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bCs/>
                <w:color w:val="17142A"/>
                <w:sz w:val="20"/>
                <w:szCs w:val="20"/>
              </w:rPr>
              <w:t xml:space="preserve">Schedule Estimator</w:t>
            </w:r>
          </w:p>
        </w:tc>
        <w:tc>
          <w:tcPr>
            <w:tcW w:type="dxa" w:w="506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655E78"/>
                <w:sz w:val="20"/>
                <w:szCs w:val="20"/>
              </w:rPr>
              <w:t xml:space="preserve">Effort, timeline, and resourcing aligned to the plan's phases</w:t>
            </w:r>
          </w:p>
        </w:tc>
        <w:tc>
          <w:tcPr>
            <w:tcW w:type="dxa" w:w="18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onsolas" w:cs="Consolas" w:eastAsia="Consolas" w:hAnsi="Consolas"/>
                <w:b/>
                <w:bCs/>
                <w:color w:val="4F46E5"/>
                <w:sz w:val="20"/>
                <w:szCs w:val="20"/>
              </w:rPr>
              <w:t xml:space="preserve">GPT-4.1</w:t>
            </w:r>
          </w:p>
        </w:tc>
      </w:tr>
      <w:tr>
        <w:tc>
          <w:tcPr>
            <w:tcW w:type="dxa" w:w="25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bCs/>
                <w:color w:val="17142A"/>
                <w:sz w:val="20"/>
                <w:szCs w:val="20"/>
              </w:rPr>
              <w:t xml:space="preserve">Solution Architect</w:t>
            </w:r>
          </w:p>
        </w:tc>
        <w:tc>
          <w:tcPr>
            <w:tcW w:type="dxa" w:w="506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655E78"/>
                <w:sz w:val="20"/>
                <w:szCs w:val="20"/>
              </w:rPr>
              <w:t xml:space="preserve">System design, components, data flow, and non-functional coverage</w:t>
            </w:r>
          </w:p>
        </w:tc>
        <w:tc>
          <w:tcPr>
            <w:tcW w:type="dxa" w:w="18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onsolas" w:cs="Consolas" w:eastAsia="Consolas" w:hAnsi="Consolas"/>
                <w:b/>
                <w:bCs/>
                <w:color w:val="4F46E5"/>
                <w:sz w:val="20"/>
                <w:szCs w:val="20"/>
              </w:rPr>
              <w:t xml:space="preserve">GPT-4.1</w:t>
            </w:r>
          </w:p>
        </w:tc>
      </w:tr>
      <w:tr>
        <w:tc>
          <w:tcPr>
            <w:tcW w:type="dxa" w:w="25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bCs/>
                <w:color w:val="17142A"/>
                <w:sz w:val="20"/>
                <w:szCs w:val="20"/>
              </w:rPr>
              <w:t xml:space="preserve">PoC Planner</w:t>
            </w:r>
          </w:p>
        </w:tc>
        <w:tc>
          <w:tcPr>
            <w:tcW w:type="dxa" w:w="506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655E78"/>
                <w:sz w:val="20"/>
                <w:szCs w:val="20"/>
              </w:rPr>
              <w:t xml:space="preserve">Proof-of-concept scope with measurable, falsifiable success criteria</w:t>
            </w:r>
          </w:p>
        </w:tc>
        <w:tc>
          <w:tcPr>
            <w:tcW w:type="dxa" w:w="18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onsolas" w:cs="Consolas" w:eastAsia="Consolas" w:hAnsi="Consolas"/>
                <w:b/>
                <w:bCs/>
                <w:color w:val="4F46E5"/>
                <w:sz w:val="20"/>
                <w:szCs w:val="20"/>
              </w:rPr>
              <w:t xml:space="preserve">GPT-4.1</w:t>
            </w:r>
          </w:p>
        </w:tc>
      </w:tr>
      <w:tr>
        <w:tc>
          <w:tcPr>
            <w:tcW w:type="dxa" w:w="25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bCs/>
                <w:color w:val="17142A"/>
                <w:sz w:val="20"/>
                <w:szCs w:val="20"/>
              </w:rPr>
              <w:t xml:space="preserve">Tech Stack Recommender</w:t>
            </w:r>
          </w:p>
        </w:tc>
        <w:tc>
          <w:tcPr>
            <w:tcW w:type="dxa" w:w="506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655E78"/>
                <w:sz w:val="20"/>
                <w:szCs w:val="20"/>
              </w:rPr>
              <w:t xml:space="preserve">Two to three stack options weighed on cost, risk, and team fit</w:t>
            </w:r>
          </w:p>
        </w:tc>
        <w:tc>
          <w:tcPr>
            <w:tcW w:type="dxa" w:w="18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onsolas" w:cs="Consolas" w:eastAsia="Consolas" w:hAnsi="Consolas"/>
                <w:b/>
                <w:bCs/>
                <w:color w:val="4F46E5"/>
                <w:sz w:val="20"/>
                <w:szCs w:val="20"/>
              </w:rPr>
              <w:t xml:space="preserve">GPT-4.1</w:t>
            </w:r>
          </w:p>
        </w:tc>
      </w:tr>
      <w:tr>
        <w:tc>
          <w:tcPr>
            <w:tcW w:type="dxa" w:w="25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bCs/>
                <w:color w:val="17142A"/>
                <w:sz w:val="20"/>
                <w:szCs w:val="20"/>
              </w:rPr>
              <w:t xml:space="preserve">Critic</w:t>
            </w:r>
          </w:p>
        </w:tc>
        <w:tc>
          <w:tcPr>
            <w:tcW w:type="dxa" w:w="506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655E78"/>
                <w:sz w:val="20"/>
                <w:szCs w:val="20"/>
              </w:rPr>
              <w:t xml:space="preserve">Scores every deliverable and enforces the revision loop</w:t>
            </w:r>
          </w:p>
        </w:tc>
        <w:tc>
          <w:tcPr>
            <w:tcW w:type="dxa" w:w="18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onsolas" w:cs="Consolas" w:eastAsia="Consolas" w:hAnsi="Consolas"/>
                <w:b/>
                <w:bCs/>
                <w:color w:val="4F46E5"/>
                <w:sz w:val="20"/>
                <w:szCs w:val="20"/>
              </w:rPr>
              <w:t xml:space="preserve">GPT-4.1</w:t>
            </w:r>
          </w:p>
        </w:tc>
      </w:tr>
    </w:tbl>
    <w:p>
      <w:pPr>
        <w:spacing w:after="60" w:before="320"/>
      </w:pPr>
      <w:r>
        <w:rPr>
          <w:rFonts w:ascii="Calibri" w:cs="Calibri" w:eastAsia="Calibri" w:hAnsi="Calibri"/>
          <w:b/>
          <w:bCs/>
          <w:color w:val="4F46E5"/>
          <w:spacing w:val="20"/>
          <w:sz w:val="16"/>
          <w:szCs w:val="16"/>
        </w:rPr>
        <w:t xml:space="preserve">THE OUTPUT</w:t>
      </w:r>
    </w:p>
    <w:p>
      <w:pPr>
        <w:pStyle w:val="Heading1"/>
        <w:spacing w:after="160"/>
      </w:pPr>
      <w:r>
        <w:rPr>
          <w:rFonts w:ascii="Georgia" w:cs="Georgia" w:eastAsia="Georgia" w:hAnsi="Georgia"/>
          <w:b/>
          <w:bCs/>
          <w:color w:val="17142A"/>
          <w:sz w:val="32"/>
          <w:szCs w:val="32"/>
        </w:rPr>
        <w:t xml:space="preserve">Five deliverables, one document</w:t>
      </w:r>
    </w:p>
    <w:p>
      <w:pPr>
        <w:spacing w:after="100"/>
      </w:pPr>
      <w:r>
        <w:rPr>
          <w:b/>
          <w:bCs/>
          <w:color w:val="4F46E5"/>
          <w:sz w:val="21"/>
          <w:szCs w:val="21"/>
        </w:rPr>
        <w:t xml:space="preserve">▪  </w:t>
      </w:r>
      <w:r>
        <w:rPr>
          <w:rFonts w:ascii="Calibri" w:cs="Calibri" w:eastAsia="Calibri" w:hAnsi="Calibri"/>
          <w:b/>
          <w:bCs/>
          <w:color w:val="17142A"/>
          <w:sz w:val="21"/>
          <w:szCs w:val="21"/>
        </w:rPr>
        <w:t xml:space="preserve">Engineering Plan  —  </w:t>
      </w:r>
      <w:r>
        <w:rPr>
          <w:rFonts w:ascii="Calibri" w:cs="Calibri" w:eastAsia="Calibri" w:hAnsi="Calibri"/>
          <w:color w:val="655E78"/>
          <w:sz w:val="21"/>
          <w:szCs w:val="21"/>
        </w:rPr>
        <w:t xml:space="preserve">Phases, risk register, milestones, team composition</w:t>
      </w:r>
    </w:p>
    <w:p>
      <w:pPr>
        <w:spacing w:after="100"/>
      </w:pPr>
      <w:r>
        <w:rPr>
          <w:b/>
          <w:bCs/>
          <w:color w:val="4F46E5"/>
          <w:sz w:val="21"/>
          <w:szCs w:val="21"/>
        </w:rPr>
        <w:t xml:space="preserve">▪  </w:t>
      </w:r>
      <w:r>
        <w:rPr>
          <w:rFonts w:ascii="Calibri" w:cs="Calibri" w:eastAsia="Calibri" w:hAnsi="Calibri"/>
          <w:b/>
          <w:bCs/>
          <w:color w:val="17142A"/>
          <w:sz w:val="21"/>
          <w:szCs w:val="21"/>
        </w:rPr>
        <w:t xml:space="preserve">Schedule &amp; Estimates  —  </w:t>
      </w:r>
      <w:r>
        <w:rPr>
          <w:rFonts w:ascii="Calibri" w:cs="Calibri" w:eastAsia="Calibri" w:hAnsi="Calibri"/>
          <w:color w:val="655E78"/>
          <w:sz w:val="21"/>
          <w:szCs w:val="21"/>
        </w:rPr>
        <w:t xml:space="preserve">Effort, timeline, resourcing, critical path</w:t>
      </w:r>
    </w:p>
    <w:p>
      <w:pPr>
        <w:spacing w:after="100"/>
      </w:pPr>
      <w:r>
        <w:rPr>
          <w:b/>
          <w:bCs/>
          <w:color w:val="4F46E5"/>
          <w:sz w:val="21"/>
          <w:szCs w:val="21"/>
        </w:rPr>
        <w:t xml:space="preserve">▪  </w:t>
      </w:r>
      <w:r>
        <w:rPr>
          <w:rFonts w:ascii="Calibri" w:cs="Calibri" w:eastAsia="Calibri" w:hAnsi="Calibri"/>
          <w:b/>
          <w:bCs/>
          <w:color w:val="17142A"/>
          <w:sz w:val="21"/>
          <w:szCs w:val="21"/>
        </w:rPr>
        <w:t xml:space="preserve">Solution Architecture  —  </w:t>
      </w:r>
      <w:r>
        <w:rPr>
          <w:rFonts w:ascii="Calibri" w:cs="Calibri" w:eastAsia="Calibri" w:hAnsi="Calibri"/>
          <w:color w:val="655E78"/>
          <w:sz w:val="21"/>
          <w:szCs w:val="21"/>
        </w:rPr>
        <w:t xml:space="preserve">Components, data flow, NFR mapping, key decisions</w:t>
      </w:r>
    </w:p>
    <w:p>
      <w:pPr>
        <w:spacing w:after="100"/>
      </w:pPr>
      <w:r>
        <w:rPr>
          <w:b/>
          <w:bCs/>
          <w:color w:val="4F46E5"/>
          <w:sz w:val="21"/>
          <w:szCs w:val="21"/>
        </w:rPr>
        <w:t xml:space="preserve">▪  </w:t>
      </w:r>
      <w:r>
        <w:rPr>
          <w:rFonts w:ascii="Calibri" w:cs="Calibri" w:eastAsia="Calibri" w:hAnsi="Calibri"/>
          <w:b/>
          <w:bCs/>
          <w:color w:val="17142A"/>
          <w:sz w:val="21"/>
          <w:szCs w:val="21"/>
        </w:rPr>
        <w:t xml:space="preserve">PoC Plan  —  </w:t>
      </w:r>
      <w:r>
        <w:rPr>
          <w:rFonts w:ascii="Calibri" w:cs="Calibri" w:eastAsia="Calibri" w:hAnsi="Calibri"/>
          <w:color w:val="655E78"/>
          <w:sz w:val="21"/>
          <w:szCs w:val="21"/>
        </w:rPr>
        <w:t xml:space="preserve">Scope, success criteria, exit decision</w:t>
      </w:r>
    </w:p>
    <w:p>
      <w:pPr>
        <w:spacing w:after="100"/>
      </w:pPr>
      <w:r>
        <w:rPr>
          <w:b/>
          <w:bCs/>
          <w:color w:val="4F46E5"/>
          <w:sz w:val="21"/>
          <w:szCs w:val="21"/>
        </w:rPr>
        <w:t xml:space="preserve">▪  </w:t>
      </w:r>
      <w:r>
        <w:rPr>
          <w:rFonts w:ascii="Calibri" w:cs="Calibri" w:eastAsia="Calibri" w:hAnsi="Calibri"/>
          <w:b/>
          <w:bCs/>
          <w:color w:val="17142A"/>
          <w:sz w:val="21"/>
          <w:szCs w:val="21"/>
        </w:rPr>
        <w:t xml:space="preserve">Tech Stack Options  —  </w:t>
      </w:r>
      <w:r>
        <w:rPr>
          <w:rFonts w:ascii="Calibri" w:cs="Calibri" w:eastAsia="Calibri" w:hAnsi="Calibri"/>
          <w:color w:val="655E78"/>
          <w:sz w:val="21"/>
          <w:szCs w:val="21"/>
        </w:rPr>
        <w:t xml:space="preserve">2–3 stacks, trade-offs, a recommendation</w:t>
      </w:r>
    </w:p>
    <w:p>
      <w:pPr>
        <w:spacing w:after="60" w:before="320"/>
      </w:pPr>
      <w:r>
        <w:rPr>
          <w:rFonts w:ascii="Calibri" w:cs="Calibri" w:eastAsia="Calibri" w:hAnsi="Calibri"/>
          <w:b/>
          <w:bCs/>
          <w:color w:val="4F46E5"/>
          <w:spacing w:val="20"/>
          <w:sz w:val="16"/>
          <w:szCs w:val="16"/>
        </w:rPr>
        <w:t xml:space="preserve">THE QUALITY GATE</w:t>
      </w:r>
    </w:p>
    <w:p>
      <w:pPr>
        <w:pStyle w:val="Heading1"/>
        <w:spacing w:after="160"/>
      </w:pPr>
      <w:r>
        <w:rPr>
          <w:rFonts w:ascii="Georgia" w:cs="Georgia" w:eastAsia="Georgia" w:hAnsi="Georgia"/>
          <w:b/>
          <w:bCs/>
          <w:color w:val="17142A"/>
          <w:sz w:val="32"/>
          <w:szCs w:val="32"/>
        </w:rPr>
        <w:t xml:space="preserve">Nothing ships without a score</w:t>
      </w:r>
    </w:p>
    <w:p>
      <w:pPr>
        <w:spacing w:after="180"/>
      </w:pPr>
      <w:r>
        <w:rPr>
          <w:rFonts w:ascii="Calibri" w:cs="Calibri" w:eastAsia="Calibri" w:hAnsi="Calibri"/>
          <w:color w:val="17142A"/>
          <w:sz w:val="22"/>
          <w:szCs w:val="22"/>
        </w:rPr>
        <w:t xml:space="preserve">Every deliverable is scored on four dimensions and rolled up into one of three badges — the same scorecard the Engineering Manager sees.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40"/>
        <w:gridCol w:w="1144"/>
        <w:gridCol w:w="1144"/>
        <w:gridCol w:w="1144"/>
        <w:gridCol w:w="1144"/>
        <w:gridCol w:w="1144"/>
      </w:tblGrid>
      <w:tr>
        <w:tc>
          <w:tcPr>
            <w:tcW w:type="dxa" w:w="2400"/>
            <w:tcBorders>
              <w:top w:val="none" w:color="FFFFFF" w:sz="0"/>
              <w:left w:val="none" w:color="FFFFFF" w:sz="0"/>
              <w:bottom w:val="single" w:color="17142A" w:sz="6"/>
              <w:right w:val="none" w:color="FFFFFF" w:sz="0"/>
            </w:tcBorders>
            <w:shd w:fill="FFFFFF" w:val="clear"/>
            <w:tcMar>
              <w:top w:type="dxa" w:w="80"/>
              <w:left w:type="dxa" w:w="100"/>
              <w:bottom w:type="dxa" w:w="80"/>
              <w:right w:type="dxa" w:w="100"/>
            </w:tcMar>
          </w:tcPr>
          <w:p>
            <w:pPr>
              <w:jc w:val="left"/>
            </w:pPr>
            <w:r>
              <w:rPr>
                <w:rFonts w:ascii="Calibri" w:cs="Calibri" w:eastAsia="Calibri" w:hAnsi="Calibri"/>
                <w:b/>
                <w:bCs/>
                <w:color w:val="9791A8"/>
                <w:spacing w:val="10"/>
                <w:sz w:val="15"/>
                <w:szCs w:val="15"/>
              </w:rPr>
              <w:t xml:space="preserve">DELIVERABLE</w:t>
            </w:r>
          </w:p>
        </w:tc>
        <w:tc>
          <w:tcPr>
            <w:tcW w:type="dxa" w:w="1240"/>
            <w:tcBorders>
              <w:top w:val="none" w:color="FFFFFF" w:sz="0"/>
              <w:left w:val="none" w:color="FFFFFF" w:sz="0"/>
              <w:bottom w:val="single" w:color="17142A" w:sz="6"/>
              <w:right w:val="none" w:color="FFFFFF" w:sz="0"/>
            </w:tcBorders>
            <w:shd w:fill="FFFFFF" w:val="clear"/>
            <w:tcMar>
              <w:top w:type="dxa" w:w="80"/>
              <w:left w:type="dxa" w:w="100"/>
              <w:bottom w:type="dxa" w:w="80"/>
              <w:right w:type="dxa" w:w="100"/>
            </w:tcMar>
          </w:tcPr>
          <w:p>
            <w:pPr>
              <w:jc w:val="left"/>
            </w:pPr>
            <w:r>
              <w:rPr>
                <w:rFonts w:ascii="Calibri" w:cs="Calibri" w:eastAsia="Calibri" w:hAnsi="Calibri"/>
                <w:b/>
                <w:bCs/>
                <w:color w:val="9791A8"/>
                <w:spacing w:val="10"/>
                <w:sz w:val="15"/>
                <w:szCs w:val="15"/>
              </w:rPr>
              <w:t xml:space="preserve">BADGE</w:t>
            </w:r>
          </w:p>
        </w:tc>
        <w:tc>
          <w:tcPr>
            <w:tcW w:type="dxa" w:w="1144"/>
            <w:tcBorders>
              <w:top w:val="none" w:color="FFFFFF" w:sz="0"/>
              <w:left w:val="none" w:color="FFFFFF" w:sz="0"/>
              <w:bottom w:val="single" w:color="17142A" w:sz="6"/>
              <w:right w:val="none" w:color="FFFFFF" w:sz="0"/>
            </w:tcBorders>
            <w:shd w:fill="FFFFFF" w:val="clear"/>
            <w:tcMar>
              <w:top w:type="dxa" w:w="80"/>
              <w:left w:type="dxa" w:w="100"/>
              <w:bottom w:type="dxa" w:w="80"/>
              <w:right w:type="dxa" w:w="100"/>
            </w:tcMar>
          </w:tcPr>
          <w:p>
            <w:pPr>
              <w:jc w:val="center"/>
            </w:pPr>
            <w:r>
              <w:rPr>
                <w:rFonts w:ascii="Calibri" w:cs="Calibri" w:eastAsia="Calibri" w:hAnsi="Calibri"/>
                <w:b/>
                <w:bCs/>
                <w:color w:val="9791A8"/>
                <w:spacing w:val="10"/>
                <w:sz w:val="15"/>
                <w:szCs w:val="15"/>
              </w:rPr>
              <w:t xml:space="preserve">OVERALL</w:t>
            </w:r>
          </w:p>
        </w:tc>
        <w:tc>
          <w:tcPr>
            <w:tcW w:type="dxa" w:w="1144"/>
            <w:tcBorders>
              <w:top w:val="none" w:color="FFFFFF" w:sz="0"/>
              <w:left w:val="none" w:color="FFFFFF" w:sz="0"/>
              <w:bottom w:val="single" w:color="17142A" w:sz="6"/>
              <w:right w:val="none" w:color="FFFFFF" w:sz="0"/>
            </w:tcBorders>
            <w:shd w:fill="FFFFFF" w:val="clear"/>
            <w:tcMar>
              <w:top w:type="dxa" w:w="80"/>
              <w:left w:type="dxa" w:w="100"/>
              <w:bottom w:type="dxa" w:w="80"/>
              <w:right w:type="dxa" w:w="100"/>
            </w:tcMar>
          </w:tcPr>
          <w:p>
            <w:pPr>
              <w:jc w:val="center"/>
            </w:pPr>
            <w:r>
              <w:rPr>
                <w:rFonts w:ascii="Calibri" w:cs="Calibri" w:eastAsia="Calibri" w:hAnsi="Calibri"/>
                <w:b/>
                <w:bCs/>
                <w:color w:val="9791A8"/>
                <w:spacing w:val="10"/>
                <w:sz w:val="15"/>
                <w:szCs w:val="15"/>
              </w:rPr>
              <w:t xml:space="preserve">COMPLETE</w:t>
            </w:r>
          </w:p>
        </w:tc>
        <w:tc>
          <w:tcPr>
            <w:tcW w:type="dxa" w:w="1144"/>
            <w:tcBorders>
              <w:top w:val="none" w:color="FFFFFF" w:sz="0"/>
              <w:left w:val="none" w:color="FFFFFF" w:sz="0"/>
              <w:bottom w:val="single" w:color="17142A" w:sz="6"/>
              <w:right w:val="none" w:color="FFFFFF" w:sz="0"/>
            </w:tcBorders>
            <w:shd w:fill="FFFFFF" w:val="clear"/>
            <w:tcMar>
              <w:top w:type="dxa" w:w="80"/>
              <w:left w:type="dxa" w:w="100"/>
              <w:bottom w:type="dxa" w:w="80"/>
              <w:right w:type="dxa" w:w="100"/>
            </w:tcMar>
          </w:tcPr>
          <w:p>
            <w:pPr>
              <w:jc w:val="center"/>
            </w:pPr>
            <w:r>
              <w:rPr>
                <w:rFonts w:ascii="Calibri" w:cs="Calibri" w:eastAsia="Calibri" w:hAnsi="Calibri"/>
                <w:b/>
                <w:bCs/>
                <w:color w:val="9791A8"/>
                <w:spacing w:val="10"/>
                <w:sz w:val="15"/>
                <w:szCs w:val="15"/>
              </w:rPr>
              <w:t xml:space="preserve">CONSIST.</w:t>
            </w:r>
          </w:p>
        </w:tc>
        <w:tc>
          <w:tcPr>
            <w:tcW w:type="dxa" w:w="1144"/>
            <w:tcBorders>
              <w:top w:val="none" w:color="FFFFFF" w:sz="0"/>
              <w:left w:val="none" w:color="FFFFFF" w:sz="0"/>
              <w:bottom w:val="single" w:color="17142A" w:sz="6"/>
              <w:right w:val="none" w:color="FFFFFF" w:sz="0"/>
            </w:tcBorders>
            <w:shd w:fill="FFFFFF" w:val="clear"/>
            <w:tcMar>
              <w:top w:type="dxa" w:w="80"/>
              <w:left w:type="dxa" w:w="100"/>
              <w:bottom w:type="dxa" w:w="80"/>
              <w:right w:type="dxa" w:w="100"/>
            </w:tcMar>
          </w:tcPr>
          <w:p>
            <w:pPr>
              <w:jc w:val="center"/>
            </w:pPr>
            <w:r>
              <w:rPr>
                <w:rFonts w:ascii="Calibri" w:cs="Calibri" w:eastAsia="Calibri" w:hAnsi="Calibri"/>
                <w:b/>
                <w:bCs/>
                <w:color w:val="9791A8"/>
                <w:spacing w:val="10"/>
                <w:sz w:val="15"/>
                <w:szCs w:val="15"/>
              </w:rPr>
              <w:t xml:space="preserve">ACTION.</w:t>
            </w:r>
          </w:p>
        </w:tc>
        <w:tc>
          <w:tcPr>
            <w:tcW w:type="dxa" w:w="1144"/>
            <w:tcBorders>
              <w:top w:val="none" w:color="FFFFFF" w:sz="0"/>
              <w:left w:val="none" w:color="FFFFFF" w:sz="0"/>
              <w:bottom w:val="single" w:color="17142A" w:sz="6"/>
              <w:right w:val="none" w:color="FFFFFF" w:sz="0"/>
            </w:tcBorders>
            <w:shd w:fill="FFFFFF" w:val="clear"/>
            <w:tcMar>
              <w:top w:type="dxa" w:w="80"/>
              <w:left w:type="dxa" w:w="100"/>
              <w:bottom w:type="dxa" w:w="80"/>
              <w:right w:type="dxa" w:w="100"/>
            </w:tcMar>
          </w:tcPr>
          <w:p>
            <w:pPr>
              <w:jc w:val="center"/>
            </w:pPr>
            <w:r>
              <w:rPr>
                <w:rFonts w:ascii="Calibri" w:cs="Calibri" w:eastAsia="Calibri" w:hAnsi="Calibri"/>
                <w:b/>
                <w:bCs/>
                <w:color w:val="9791A8"/>
                <w:spacing w:val="10"/>
                <w:sz w:val="15"/>
                <w:szCs w:val="15"/>
              </w:rPr>
              <w:t xml:space="preserve">GROUNDED</w:t>
            </w:r>
          </w:p>
        </w:tc>
      </w:tr>
      <w:tr>
        <w:tc>
          <w:tcPr>
            <w:tcW w:type="dxa" w:w="24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17142A"/>
                <w:sz w:val="20"/>
                <w:szCs w:val="20"/>
              </w:rPr>
              <w:t xml:space="preserve">Engineering Plan</w:t>
            </w:r>
          </w:p>
        </w:tc>
        <w:tc>
          <w:tcPr>
            <w:tcW w:type="dxa" w:w="1240"/>
            <w:tcBorders>
              <w:top w:val="none" w:color="FFFFFF" w:sz="0"/>
              <w:left w:val="none" w:color="FFFFFF" w:sz="0"/>
              <w:bottom w:val="single" w:color="D9D3EC" w:sz="4"/>
              <w:right w:val="none" w:color="FFFFFF" w:sz="0"/>
            </w:tcBorders>
            <w:shd w:fill="E8F6EE" w:val="clear"/>
            <w:tcMar>
              <w:top w:type="dxa" w:w="90"/>
              <w:left w:type="dxa" w:w="100"/>
              <w:bottom w:type="dxa" w:w="90"/>
              <w:right w:type="dxa" w:w="100"/>
            </w:tcMar>
          </w:tcPr>
          <w:p>
            <w:r>
              <w:rPr>
                <w:rFonts w:ascii="Consolas" w:cs="Consolas" w:eastAsia="Consolas" w:hAnsi="Consolas"/>
                <w:b/>
                <w:bCs/>
                <w:color w:val="157A3D"/>
                <w:sz w:val="18"/>
                <w:szCs w:val="18"/>
              </w:rPr>
              <w:t xml:space="preserve">● green</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0.86</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0.90</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0.85</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0.84</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0.85</w:t>
            </w:r>
          </w:p>
        </w:tc>
      </w:tr>
      <w:tr>
        <w:tc>
          <w:tcPr>
            <w:tcW w:type="dxa" w:w="24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17142A"/>
                <w:sz w:val="20"/>
                <w:szCs w:val="20"/>
              </w:rPr>
              <w:t xml:space="preserve">Schedule &amp; Estimates</w:t>
            </w:r>
          </w:p>
        </w:tc>
        <w:tc>
          <w:tcPr>
            <w:tcW w:type="dxa" w:w="1240"/>
            <w:tcBorders>
              <w:top w:val="none" w:color="FFFFFF" w:sz="0"/>
              <w:left w:val="none" w:color="FFFFFF" w:sz="0"/>
              <w:bottom w:val="single" w:color="D9D3EC" w:sz="4"/>
              <w:right w:val="none" w:color="FFFFFF" w:sz="0"/>
            </w:tcBorders>
            <w:shd w:fill="FBF0DF" w:val="clear"/>
            <w:tcMar>
              <w:top w:type="dxa" w:w="90"/>
              <w:left w:type="dxa" w:w="100"/>
              <w:bottom w:type="dxa" w:w="90"/>
              <w:right w:type="dxa" w:w="100"/>
            </w:tcMar>
          </w:tcPr>
          <w:p>
            <w:r>
              <w:rPr>
                <w:rFonts w:ascii="Consolas" w:cs="Consolas" w:eastAsia="Consolas" w:hAnsi="Consolas"/>
                <w:b/>
                <w:bCs/>
                <w:color w:val="A85A06"/>
                <w:sz w:val="18"/>
                <w:szCs w:val="18"/>
              </w:rPr>
              <w:t xml:space="preserve">● amber</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0.72</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0.78</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0.66</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0.75</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0.70</w:t>
            </w:r>
          </w:p>
        </w:tc>
      </w:tr>
      <w:tr>
        <w:tc>
          <w:tcPr>
            <w:tcW w:type="dxa" w:w="24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17142A"/>
                <w:sz w:val="20"/>
                <w:szCs w:val="20"/>
              </w:rPr>
              <w:t xml:space="preserve">Solution Architecture</w:t>
            </w:r>
          </w:p>
        </w:tc>
        <w:tc>
          <w:tcPr>
            <w:tcW w:type="dxa" w:w="1240"/>
            <w:tcBorders>
              <w:top w:val="none" w:color="FFFFFF" w:sz="0"/>
              <w:left w:val="none" w:color="FFFFFF" w:sz="0"/>
              <w:bottom w:val="single" w:color="D9D3EC" w:sz="4"/>
              <w:right w:val="none" w:color="FFFFFF" w:sz="0"/>
            </w:tcBorders>
            <w:shd w:fill="E8F6EE" w:val="clear"/>
            <w:tcMar>
              <w:top w:type="dxa" w:w="90"/>
              <w:left w:type="dxa" w:w="100"/>
              <w:bottom w:type="dxa" w:w="90"/>
              <w:right w:type="dxa" w:w="100"/>
            </w:tcMar>
          </w:tcPr>
          <w:p>
            <w:r>
              <w:rPr>
                <w:rFonts w:ascii="Consolas" w:cs="Consolas" w:eastAsia="Consolas" w:hAnsi="Consolas"/>
                <w:b/>
                <w:bCs/>
                <w:color w:val="157A3D"/>
                <w:sz w:val="18"/>
                <w:szCs w:val="18"/>
              </w:rPr>
              <w:t xml:space="preserve">● green</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0.86</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0.88</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0.84</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0.83</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0.87</w:t>
            </w:r>
          </w:p>
        </w:tc>
      </w:tr>
      <w:tr>
        <w:tc>
          <w:tcPr>
            <w:tcW w:type="dxa" w:w="24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17142A"/>
                <w:sz w:val="20"/>
                <w:szCs w:val="20"/>
              </w:rPr>
              <w:t xml:space="preserve">PoC Plan</w:t>
            </w:r>
          </w:p>
        </w:tc>
        <w:tc>
          <w:tcPr>
            <w:tcW w:type="dxa" w:w="1240"/>
            <w:tcBorders>
              <w:top w:val="none" w:color="FFFFFF" w:sz="0"/>
              <w:left w:val="none" w:color="FFFFFF" w:sz="0"/>
              <w:bottom w:val="single" w:color="D9D3EC" w:sz="4"/>
              <w:right w:val="none" w:color="FFFFFF" w:sz="0"/>
            </w:tcBorders>
            <w:shd w:fill="E8F6EE" w:val="clear"/>
            <w:tcMar>
              <w:top w:type="dxa" w:w="90"/>
              <w:left w:type="dxa" w:w="100"/>
              <w:bottom w:type="dxa" w:w="90"/>
              <w:right w:type="dxa" w:w="100"/>
            </w:tcMar>
          </w:tcPr>
          <w:p>
            <w:r>
              <w:rPr>
                <w:rFonts w:ascii="Consolas" w:cs="Consolas" w:eastAsia="Consolas" w:hAnsi="Consolas"/>
                <w:b/>
                <w:bCs/>
                <w:color w:val="157A3D"/>
                <w:sz w:val="18"/>
                <w:szCs w:val="18"/>
              </w:rPr>
              <w:t xml:space="preserve">● green</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0.94</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0.95</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0.93</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0.94</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0.94</w:t>
            </w:r>
          </w:p>
        </w:tc>
      </w:tr>
      <w:tr>
        <w:tc>
          <w:tcPr>
            <w:tcW w:type="dxa" w:w="24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17142A"/>
                <w:sz w:val="20"/>
                <w:szCs w:val="20"/>
              </w:rPr>
              <w:t xml:space="preserve">Tech Stack Options</w:t>
            </w:r>
          </w:p>
        </w:tc>
        <w:tc>
          <w:tcPr>
            <w:tcW w:type="dxa" w:w="1240"/>
            <w:tcBorders>
              <w:top w:val="none" w:color="FFFFFF" w:sz="0"/>
              <w:left w:val="none" w:color="FFFFFF" w:sz="0"/>
              <w:bottom w:val="single" w:color="D9D3EC" w:sz="4"/>
              <w:right w:val="none" w:color="FFFFFF" w:sz="0"/>
            </w:tcBorders>
            <w:shd w:fill="E8F6EE" w:val="clear"/>
            <w:tcMar>
              <w:top w:type="dxa" w:w="90"/>
              <w:left w:type="dxa" w:w="100"/>
              <w:bottom w:type="dxa" w:w="90"/>
              <w:right w:type="dxa" w:w="100"/>
            </w:tcMar>
          </w:tcPr>
          <w:p>
            <w:r>
              <w:rPr>
                <w:rFonts w:ascii="Consolas" w:cs="Consolas" w:eastAsia="Consolas" w:hAnsi="Consolas"/>
                <w:b/>
                <w:bCs/>
                <w:color w:val="157A3D"/>
                <w:sz w:val="18"/>
                <w:szCs w:val="18"/>
              </w:rPr>
              <w:t xml:space="preserve">● green</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0.98</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0.99</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0.97</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0.98</w:t>
            </w:r>
          </w:p>
        </w:tc>
        <w:tc>
          <w:tcPr>
            <w:tcW w:type="dxa" w:w="1144"/>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center"/>
            </w:pPr>
            <w:r>
              <w:rPr>
                <w:rFonts w:ascii="Consolas" w:cs="Consolas" w:eastAsia="Consolas" w:hAnsi="Consolas"/>
                <w:b w:val="false"/>
                <w:bCs w:val="false"/>
                <w:color w:val="17142A"/>
                <w:sz w:val="20"/>
                <w:szCs w:val="20"/>
              </w:rPr>
              <w:t xml:space="preserve">0.98</w:t>
            </w:r>
          </w:p>
        </w:tc>
      </w:tr>
    </w:tbl>
    <w:p>
      <w:pPr>
        <w:spacing w:after="0" w:before="200"/>
      </w:pPr>
      <w:r>
        <w:rPr>
          <w:rFonts w:ascii="Calibri" w:cs="Calibri" w:eastAsia="Calibri" w:hAnsi="Calibri"/>
          <w:i/>
          <w:iCs/>
          <w:color w:val="655E78"/>
          <w:sz w:val="19"/>
          <w:szCs w:val="19"/>
        </w:rPr>
        <w:t xml:space="preserve">Green ≥ 0.80  ·  Amber ≥ 0.60  ·  Red below 0.60. An amber or red score sends the deliverable back to its author with the Critic's specific issues attached — up to two rounds — before the run is allowed to finish.</w:t>
      </w:r>
    </w:p>
    <w:p>
      <w:pPr>
        <w:spacing w:after="60" w:before="320"/>
      </w:pPr>
      <w:r>
        <w:rPr>
          <w:rFonts w:ascii="Calibri" w:cs="Calibri" w:eastAsia="Calibri" w:hAnsi="Calibri"/>
          <w:b/>
          <w:bCs/>
          <w:color w:val="4F46E5"/>
          <w:spacing w:val="20"/>
          <w:sz w:val="16"/>
          <w:szCs w:val="16"/>
        </w:rPr>
        <w:t xml:space="preserve">PROOF, NOT A MOCK-UP</w:t>
      </w:r>
    </w:p>
    <w:p>
      <w:pPr>
        <w:pStyle w:val="Heading1"/>
        <w:spacing w:after="160"/>
      </w:pPr>
      <w:r>
        <w:rPr>
          <w:rFonts w:ascii="Georgia" w:cs="Georgia" w:eastAsia="Georgia" w:hAnsi="Georgia"/>
          <w:b/>
          <w:bCs/>
          <w:color w:val="17142A"/>
          <w:sz w:val="32"/>
          <w:szCs w:val="32"/>
        </w:rPr>
        <w:t xml:space="preserve">A real run through the system</w:t>
      </w:r>
    </w:p>
    <w:p>
      <w:pPr>
        <w:spacing w:after="160"/>
      </w:pPr>
      <w:r>
        <w:rPr>
          <w:rFonts w:ascii="Calibri" w:cs="Calibri" w:eastAsia="Calibri" w:hAnsi="Calibri"/>
          <w:i/>
          <w:iCs/>
          <w:color w:val="655E78"/>
          <w:sz w:val="20"/>
          <w:szCs w:val="20"/>
        </w:rPr>
        <w:t xml:space="preserve">Sample analysis — an actual internal Charter run, shown here as a concrete illustration. </w:t>
      </w:r>
      <w:r>
        <w:rPr>
          <w:rFonts w:ascii="Consolas" w:cs="Consolas" w:eastAsia="Consolas" w:hAnsi="Consolas"/>
          <w:b/>
          <w:bCs/>
          <w:color w:val="17142A"/>
          <w:sz w:val="20"/>
          <w:szCs w:val="20"/>
        </w:rPr>
        <w:t xml:space="preserve">~9 min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1EEF8" w:val="clear"/>
            <w:tcMar>
              <w:top w:type="dxa" w:w="160"/>
              <w:left w:type="dxa" w:w="80"/>
              <w:bottom w:type="dxa" w:w="20"/>
              <w:right w:type="dxa" w:w="80"/>
            </w:tcMar>
          </w:tcPr>
          <w:p>
            <w:pPr>
              <w:jc w:val="center"/>
            </w:pPr>
            <w:r>
              <w:rPr>
                <w:rFonts w:ascii="Consolas" w:cs="Consolas" w:eastAsia="Consolas" w:hAnsi="Consolas"/>
                <w:b/>
                <w:bCs/>
                <w:color w:val="17142A"/>
                <w:sz w:val="30"/>
                <w:szCs w:val="30"/>
              </w:rPr>
              <w:t xml:space="preserve">41</w:t>
            </w:r>
          </w:p>
        </w:tc>
        <w:tc>
          <w:tcPr>
            <w:tcW w:type="dxa" w:w="1872"/>
            <w:tcBorders>
              <w:top w:val="none" w:color="FFFFFF" w:sz="0"/>
              <w:left w:val="none" w:color="FFFFFF" w:sz="0"/>
              <w:bottom w:val="none" w:color="FFFFFF" w:sz="0"/>
              <w:right w:val="none" w:color="FFFFFF" w:sz="0"/>
            </w:tcBorders>
            <w:shd w:fill="F1EEF8" w:val="clear"/>
            <w:tcMar>
              <w:top w:type="dxa" w:w="160"/>
              <w:left w:type="dxa" w:w="80"/>
              <w:bottom w:type="dxa" w:w="20"/>
              <w:right w:type="dxa" w:w="80"/>
            </w:tcMar>
          </w:tcPr>
          <w:p>
            <w:pPr>
              <w:jc w:val="center"/>
            </w:pPr>
            <w:r>
              <w:rPr>
                <w:rFonts w:ascii="Consolas" w:cs="Consolas" w:eastAsia="Consolas" w:hAnsi="Consolas"/>
                <w:b/>
                <w:bCs/>
                <w:color w:val="17142A"/>
                <w:sz w:val="30"/>
                <w:szCs w:val="30"/>
              </w:rPr>
              <w:t xml:space="preserve">249</w:t>
            </w:r>
          </w:p>
        </w:tc>
        <w:tc>
          <w:tcPr>
            <w:tcW w:type="dxa" w:w="1872"/>
            <w:tcBorders>
              <w:top w:val="none" w:color="FFFFFF" w:sz="0"/>
              <w:left w:val="none" w:color="FFFFFF" w:sz="0"/>
              <w:bottom w:val="none" w:color="FFFFFF" w:sz="0"/>
              <w:right w:val="none" w:color="FFFFFF" w:sz="0"/>
            </w:tcBorders>
            <w:shd w:fill="F1EEF8" w:val="clear"/>
            <w:tcMar>
              <w:top w:type="dxa" w:w="160"/>
              <w:left w:type="dxa" w:w="80"/>
              <w:bottom w:type="dxa" w:w="20"/>
              <w:right w:type="dxa" w:w="80"/>
            </w:tcMar>
          </w:tcPr>
          <w:p>
            <w:pPr>
              <w:jc w:val="center"/>
            </w:pPr>
            <w:r>
              <w:rPr>
                <w:rFonts w:ascii="Consolas" w:cs="Consolas" w:eastAsia="Consolas" w:hAnsi="Consolas"/>
                <w:b/>
                <w:bCs/>
                <w:color w:val="17142A"/>
                <w:sz w:val="30"/>
                <w:szCs w:val="30"/>
              </w:rPr>
              <w:t xml:space="preserve">5 / 5</w:t>
            </w:r>
          </w:p>
        </w:tc>
        <w:tc>
          <w:tcPr>
            <w:tcW w:type="dxa" w:w="1872"/>
            <w:tcBorders>
              <w:top w:val="none" w:color="FFFFFF" w:sz="0"/>
              <w:left w:val="none" w:color="FFFFFF" w:sz="0"/>
              <w:bottom w:val="none" w:color="FFFFFF" w:sz="0"/>
              <w:right w:val="none" w:color="FFFFFF" w:sz="0"/>
            </w:tcBorders>
            <w:shd w:fill="F1EEF8" w:val="clear"/>
            <w:tcMar>
              <w:top w:type="dxa" w:w="160"/>
              <w:left w:type="dxa" w:w="80"/>
              <w:bottom w:type="dxa" w:w="20"/>
              <w:right w:type="dxa" w:w="80"/>
            </w:tcMar>
          </w:tcPr>
          <w:p>
            <w:pPr>
              <w:jc w:val="center"/>
            </w:pPr>
            <w:r>
              <w:rPr>
                <w:rFonts w:ascii="Consolas" w:cs="Consolas" w:eastAsia="Consolas" w:hAnsi="Consolas"/>
                <w:b/>
                <w:bCs/>
                <w:color w:val="17142A"/>
                <w:sz w:val="30"/>
                <w:szCs w:val="30"/>
              </w:rPr>
              <w:t xml:space="preserve">0.93</w:t>
            </w:r>
          </w:p>
        </w:tc>
        <w:tc>
          <w:tcPr>
            <w:tcW w:type="dxa" w:w="1872"/>
            <w:tcBorders>
              <w:top w:val="none" w:color="FFFFFF" w:sz="0"/>
              <w:left w:val="none" w:color="FFFFFF" w:sz="0"/>
              <w:bottom w:val="none" w:color="FFFFFF" w:sz="0"/>
              <w:right w:val="none" w:color="FFFFFF" w:sz="0"/>
            </w:tcBorders>
            <w:shd w:fill="F1EEF8" w:val="clear"/>
            <w:tcMar>
              <w:top w:type="dxa" w:w="160"/>
              <w:left w:type="dxa" w:w="80"/>
              <w:bottom w:type="dxa" w:w="20"/>
              <w:right w:type="dxa" w:w="80"/>
            </w:tcMar>
          </w:tcPr>
          <w:p>
            <w:pPr>
              <w:jc w:val="center"/>
            </w:pPr>
            <w:r>
              <w:rPr>
                <w:rFonts w:ascii="Consolas" w:cs="Consolas" w:eastAsia="Consolas" w:hAnsi="Consolas"/>
                <w:b/>
                <w:bCs/>
                <w:color w:val="17142A"/>
                <w:sz w:val="30"/>
                <w:szCs w:val="30"/>
              </w:rPr>
              <w:t xml:space="preserve">Green</w:t>
            </w:r>
          </w:p>
        </w:tc>
      </w:tr>
      <w:tr>
        <w:tc>
          <w:tcPr>
            <w:tcW w:type="dxa" w:w="1872"/>
            <w:tcBorders>
              <w:top w:val="none" w:color="FFFFFF" w:sz="0"/>
              <w:left w:val="none" w:color="FFFFFF" w:sz="0"/>
              <w:bottom w:val="none" w:color="FFFFFF" w:sz="0"/>
              <w:right w:val="none" w:color="FFFFFF" w:sz="0"/>
            </w:tcBorders>
            <w:shd w:fill="F1EEF8" w:val="clear"/>
            <w:tcMar>
              <w:top w:type="dxa" w:w="0"/>
              <w:left w:type="dxa" w:w="80"/>
              <w:bottom w:type="dxa" w:w="160"/>
              <w:right w:type="dxa" w:w="80"/>
            </w:tcMar>
          </w:tcPr>
          <w:p>
            <w:pPr>
              <w:jc w:val="center"/>
            </w:pPr>
            <w:r>
              <w:rPr>
                <w:rFonts w:ascii="Calibri" w:cs="Calibri" w:eastAsia="Calibri" w:hAnsi="Calibri"/>
                <w:color w:val="655E78"/>
                <w:sz w:val="17"/>
                <w:szCs w:val="17"/>
              </w:rPr>
              <w:t xml:space="preserve">Sections parsed</w:t>
            </w:r>
          </w:p>
        </w:tc>
        <w:tc>
          <w:tcPr>
            <w:tcW w:type="dxa" w:w="1872"/>
            <w:tcBorders>
              <w:top w:val="none" w:color="FFFFFF" w:sz="0"/>
              <w:left w:val="none" w:color="FFFFFF" w:sz="0"/>
              <w:bottom w:val="none" w:color="FFFFFF" w:sz="0"/>
              <w:right w:val="none" w:color="FFFFFF" w:sz="0"/>
            </w:tcBorders>
            <w:shd w:fill="F1EEF8" w:val="clear"/>
            <w:tcMar>
              <w:top w:type="dxa" w:w="0"/>
              <w:left w:type="dxa" w:w="80"/>
              <w:bottom w:type="dxa" w:w="160"/>
              <w:right w:type="dxa" w:w="80"/>
            </w:tcMar>
          </w:tcPr>
          <w:p>
            <w:pPr>
              <w:jc w:val="center"/>
            </w:pPr>
            <w:r>
              <w:rPr>
                <w:rFonts w:ascii="Calibri" w:cs="Calibri" w:eastAsia="Calibri" w:hAnsi="Calibri"/>
                <w:color w:val="655E78"/>
                <w:sz w:val="17"/>
                <w:szCs w:val="17"/>
              </w:rPr>
              <w:t xml:space="preserve">Requirements classified</w:t>
            </w:r>
          </w:p>
        </w:tc>
        <w:tc>
          <w:tcPr>
            <w:tcW w:type="dxa" w:w="1872"/>
            <w:tcBorders>
              <w:top w:val="none" w:color="FFFFFF" w:sz="0"/>
              <w:left w:val="none" w:color="FFFFFF" w:sz="0"/>
              <w:bottom w:val="none" w:color="FFFFFF" w:sz="0"/>
              <w:right w:val="none" w:color="FFFFFF" w:sz="0"/>
            </w:tcBorders>
            <w:shd w:fill="F1EEF8" w:val="clear"/>
            <w:tcMar>
              <w:top w:type="dxa" w:w="0"/>
              <w:left w:type="dxa" w:w="80"/>
              <w:bottom w:type="dxa" w:w="160"/>
              <w:right w:type="dxa" w:w="80"/>
            </w:tcMar>
          </w:tcPr>
          <w:p>
            <w:pPr>
              <w:jc w:val="center"/>
            </w:pPr>
            <w:r>
              <w:rPr>
                <w:rFonts w:ascii="Calibri" w:cs="Calibri" w:eastAsia="Calibri" w:hAnsi="Calibri"/>
                <w:color w:val="655E78"/>
                <w:sz w:val="17"/>
                <w:szCs w:val="17"/>
              </w:rPr>
              <w:t xml:space="preserve">Deliverables produced</w:t>
            </w:r>
          </w:p>
        </w:tc>
        <w:tc>
          <w:tcPr>
            <w:tcW w:type="dxa" w:w="1872"/>
            <w:tcBorders>
              <w:top w:val="none" w:color="FFFFFF" w:sz="0"/>
              <w:left w:val="none" w:color="FFFFFF" w:sz="0"/>
              <w:bottom w:val="none" w:color="FFFFFF" w:sz="0"/>
              <w:right w:val="none" w:color="FFFFFF" w:sz="0"/>
            </w:tcBorders>
            <w:shd w:fill="F1EEF8" w:val="clear"/>
            <w:tcMar>
              <w:top w:type="dxa" w:w="0"/>
              <w:left w:type="dxa" w:w="80"/>
              <w:bottom w:type="dxa" w:w="160"/>
              <w:right w:type="dxa" w:w="80"/>
            </w:tcMar>
          </w:tcPr>
          <w:p>
            <w:pPr>
              <w:jc w:val="center"/>
            </w:pPr>
            <w:r>
              <w:rPr>
                <w:rFonts w:ascii="Calibri" w:cs="Calibri" w:eastAsia="Calibri" w:hAnsi="Calibri"/>
                <w:color w:val="655E78"/>
                <w:sz w:val="17"/>
                <w:szCs w:val="17"/>
              </w:rPr>
              <w:t xml:space="preserve">Average quality score</w:t>
            </w:r>
          </w:p>
        </w:tc>
        <w:tc>
          <w:tcPr>
            <w:tcW w:type="dxa" w:w="1872"/>
            <w:tcBorders>
              <w:top w:val="none" w:color="FFFFFF" w:sz="0"/>
              <w:left w:val="none" w:color="FFFFFF" w:sz="0"/>
              <w:bottom w:val="none" w:color="FFFFFF" w:sz="0"/>
              <w:right w:val="none" w:color="FFFFFF" w:sz="0"/>
            </w:tcBorders>
            <w:shd w:fill="F1EEF8" w:val="clear"/>
            <w:tcMar>
              <w:top w:type="dxa" w:w="0"/>
              <w:left w:type="dxa" w:w="80"/>
              <w:bottom w:type="dxa" w:w="160"/>
              <w:right w:type="dxa" w:w="80"/>
            </w:tcMar>
          </w:tcPr>
          <w:p>
            <w:pPr>
              <w:jc w:val="center"/>
            </w:pPr>
            <w:r>
              <w:rPr>
                <w:rFonts w:ascii="Calibri" w:cs="Calibri" w:eastAsia="Calibri" w:hAnsi="Calibri"/>
                <w:color w:val="655E78"/>
                <w:sz w:val="17"/>
                <w:szCs w:val="17"/>
              </w:rPr>
              <w:t xml:space="preserve">Overall readiness</w:t>
            </w:r>
          </w:p>
        </w:tc>
      </w:tr>
    </w:tbl>
    <w:p>
      <w:pPr>
        <w:spacing w:after="60" w:before="320"/>
      </w:pPr>
      <w:r>
        <w:rPr>
          <w:rFonts w:ascii="Calibri" w:cs="Calibri" w:eastAsia="Calibri" w:hAnsi="Calibri"/>
          <w:b/>
          <w:bCs/>
          <w:color w:val="4F46E5"/>
          <w:spacing w:val="20"/>
          <w:sz w:val="16"/>
          <w:szCs w:val="16"/>
        </w:rPr>
        <w:t xml:space="preserve">WHAT IT COSTS TO RUN</w:t>
      </w:r>
    </w:p>
    <w:p>
      <w:pPr>
        <w:pStyle w:val="Heading1"/>
        <w:spacing w:after="160"/>
      </w:pPr>
      <w:r>
        <w:rPr>
          <w:rFonts w:ascii="Georgia" w:cs="Georgia" w:eastAsia="Georgia" w:hAnsi="Georgia"/>
          <w:b/>
          <w:bCs/>
          <w:color w:val="17142A"/>
          <w:sz w:val="32"/>
          <w:szCs w:val="32"/>
        </w:rPr>
        <w:t xml:space="preserve">Infrastructure is fixed; usage is per analysis</w:t>
      </w:r>
    </w:p>
    <w:p>
      <w:pPr>
        <w:pStyle w:val="Heading2"/>
        <w:spacing w:after="80" w:before="160"/>
      </w:pPr>
      <w:r>
        <w:rPr>
          <w:rFonts w:ascii="Georgia" w:cs="Georgia" w:eastAsia="Georgia" w:hAnsi="Georgia"/>
          <w:b/>
          <w:bCs/>
          <w:color w:val="17142A"/>
          <w:sz w:val="24"/>
          <w:szCs w:val="24"/>
        </w:rPr>
        <w:t xml:space="preserve">Azure hosting — $20–45 / month</w:t>
      </w:r>
    </w:p>
    <w:p>
      <w:pPr>
        <w:pStyle w:val="ListParagraph"/>
        <w:numPr>
          <w:ilvl w:val="0"/>
          <w:numId w:val="1"/>
        </w:numPr>
        <w:spacing w:after="60"/>
      </w:pPr>
      <w:r>
        <w:rPr>
          <w:rFonts w:ascii="Calibri" w:cs="Calibri" w:eastAsia="Calibri" w:hAnsi="Calibri"/>
          <w:color w:val="655E78"/>
          <w:sz w:val="21"/>
          <w:szCs w:val="21"/>
        </w:rPr>
        <w:t xml:space="preserve">One always-on container, sized for internal traffic</w:t>
      </w:r>
    </w:p>
    <w:p>
      <w:pPr>
        <w:pStyle w:val="ListParagraph"/>
        <w:numPr>
          <w:ilvl w:val="0"/>
          <w:numId w:val="1"/>
        </w:numPr>
        <w:spacing w:after="60"/>
      </w:pPr>
      <w:r>
        <w:rPr>
          <w:rFonts w:ascii="Calibri" w:cs="Calibri" w:eastAsia="Calibri" w:hAnsi="Calibri"/>
          <w:color w:val="655E78"/>
          <w:sz w:val="21"/>
          <w:szCs w:val="21"/>
        </w:rPr>
        <w:t xml:space="preserve">Registry, storage, secrets, and monitoring</w:t>
      </w:r>
    </w:p>
    <w:p>
      <w:pPr>
        <w:pStyle w:val="ListParagraph"/>
        <w:numPr>
          <w:ilvl w:val="0"/>
          <w:numId w:val="1"/>
        </w:numPr>
        <w:spacing w:after="60"/>
      </w:pPr>
      <w:r>
        <w:rPr>
          <w:rFonts w:ascii="Calibri" w:cs="Calibri" w:eastAsia="Calibri" w:hAnsi="Calibri"/>
          <w:color w:val="655E78"/>
          <w:sz w:val="21"/>
          <w:szCs w:val="21"/>
        </w:rPr>
        <w:t xml:space="preserve">No dedicated infrastructure headcount required</w:t>
      </w:r>
    </w:p>
    <w:p>
      <w:pPr>
        <w:pStyle w:val="Heading2"/>
        <w:spacing w:after="80" w:before="160"/>
      </w:pPr>
      <w:r>
        <w:rPr>
          <w:rFonts w:ascii="Georgia" w:cs="Georgia" w:eastAsia="Georgia" w:hAnsi="Georgia"/>
          <w:b/>
          <w:bCs/>
          <w:color w:val="17142A"/>
          <w:sz w:val="24"/>
          <w:szCs w:val="24"/>
        </w:rPr>
        <w:t xml:space="preserve">OpenAI usage — $0.50–1.50 / analysis</w:t>
      </w:r>
    </w:p>
    <w:p>
      <w:pPr>
        <w:pStyle w:val="ListParagraph"/>
        <w:numPr>
          <w:ilvl w:val="0"/>
          <w:numId w:val="1"/>
        </w:numPr>
        <w:spacing w:after="60"/>
      </w:pPr>
      <w:r>
        <w:rPr>
          <w:rFonts w:ascii="Calibri" w:cs="Calibri" w:eastAsia="Calibri" w:hAnsi="Calibri"/>
          <w:color w:val="655E78"/>
          <w:sz w:val="21"/>
          <w:szCs w:val="21"/>
        </w:rPr>
        <w:t xml:space="preserve">Scales with how many BRDs are analyzed, not with idle time</w:t>
      </w:r>
    </w:p>
    <w:p>
      <w:pPr>
        <w:pStyle w:val="ListParagraph"/>
        <w:numPr>
          <w:ilvl w:val="0"/>
          <w:numId w:val="1"/>
        </w:numPr>
        <w:spacing w:after="60"/>
      </w:pPr>
      <w:r>
        <w:rPr>
          <w:rFonts w:ascii="Calibri" w:cs="Calibri" w:eastAsia="Calibri" w:hAnsi="Calibri"/>
          <w:color w:val="655E78"/>
          <w:sz w:val="21"/>
          <w:szCs w:val="21"/>
        </w:rPr>
        <w:t xml:space="preserve">Cheaper model reserved for document parsing</w:t>
      </w:r>
    </w:p>
    <w:p>
      <w:pPr>
        <w:pStyle w:val="ListParagraph"/>
        <w:numPr>
          <w:ilvl w:val="0"/>
          <w:numId w:val="1"/>
        </w:numPr>
        <w:spacing w:after="60"/>
      </w:pPr>
      <w:r>
        <w:rPr>
          <w:rFonts w:ascii="Calibri" w:cs="Calibri" w:eastAsia="Calibri" w:hAnsi="Calibri"/>
          <w:color w:val="655E78"/>
          <w:sz w:val="21"/>
          <w:szCs w:val="21"/>
        </w:rPr>
        <w:t xml:space="preserve">Revision rounds are the only thing that raises the per-run cost</w:t>
      </w:r>
    </w:p>
    <w:p>
      <w:pPr>
        <w:spacing w:after="60" w:before="320"/>
      </w:pPr>
      <w:r>
        <w:rPr>
          <w:rFonts w:ascii="Calibri" w:cs="Calibri" w:eastAsia="Calibri" w:hAnsi="Calibri"/>
          <w:b/>
          <w:bCs/>
          <w:color w:val="4F46E5"/>
          <w:spacing w:val="20"/>
          <w:sz w:val="16"/>
          <w:szCs w:val="16"/>
        </w:rPr>
        <w:t xml:space="preserve">WHERE IT STANDS</w:t>
      </w:r>
    </w:p>
    <w:p>
      <w:pPr>
        <w:pStyle w:val="Heading1"/>
        <w:spacing w:after="160"/>
      </w:pPr>
      <w:r>
        <w:rPr>
          <w:rFonts w:ascii="Georgia" w:cs="Georgia" w:eastAsia="Georgia" w:hAnsi="Georgia"/>
          <w:b/>
          <w:bCs/>
          <w:color w:val="17142A"/>
          <w:sz w:val="32"/>
          <w:szCs w:val="32"/>
        </w:rPr>
        <w:t xml:space="preserve">Status and what's next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bCs/>
                <w:color w:val="9791A8"/>
                <w:sz w:val="16"/>
                <w:szCs w:val="16"/>
              </w:rPr>
              <w:t xml:space="preserve">TODAY</w:t>
            </w:r>
          </w:p>
        </w:tc>
        <w:tc>
          <w:tcPr>
            <w:tcW w:type="dxa" w:w="716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17142A"/>
                <w:sz w:val="20"/>
                <w:szCs w:val="20"/>
              </w:rPr>
              <w:t xml:space="preserve">Running end-to-end on Azure as a single-instance internal tool. An Engineering Manager uploads a BRD, watches (or steps away from) a background run, and reviews the scored result — with a history of every past run kept on file.</w:t>
            </w:r>
          </w:p>
        </w:tc>
      </w:tr>
      <w:tr>
        <w:tc>
          <w:tcPr>
            <w:tcW w:type="dxa" w:w="22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bCs/>
                <w:color w:val="9791A8"/>
                <w:sz w:val="16"/>
                <w:szCs w:val="16"/>
              </w:rPr>
              <w:t xml:space="preserve">SCOPE</w:t>
            </w:r>
          </w:p>
        </w:tc>
        <w:tc>
          <w:tcPr>
            <w:tcW w:type="dxa" w:w="716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17142A"/>
                <w:sz w:val="20"/>
                <w:szCs w:val="20"/>
              </w:rPr>
              <w:t xml:space="preserve">Built for one team's use at a time. There is no multi-user login yet — everyone who reaches the tool shares one workspace.</w:t>
            </w:r>
          </w:p>
        </w:tc>
      </w:tr>
      <w:tr>
        <w:tc>
          <w:tcPr>
            <w:tcW w:type="dxa" w:w="220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bCs/>
                <w:color w:val="9791A8"/>
                <w:sz w:val="16"/>
                <w:szCs w:val="16"/>
              </w:rPr>
              <w:t xml:space="preserve">NEXT, IF USAGE GROWS</w:t>
            </w:r>
          </w:p>
        </w:tc>
        <w:tc>
          <w:tcPr>
            <w:tcW w:type="dxa" w:w="7160"/>
            <w:tcBorders>
              <w:top w:val="none" w:color="FFFFFF" w:sz="0"/>
              <w:left w:val="none" w:color="FFFFFF" w:sz="0"/>
              <w:bottom w:val="single" w:color="D9D3EC" w:sz="4"/>
              <w:right w:val="none" w:color="FFFFFF" w:sz="0"/>
            </w:tcBorders>
            <w:tcMar>
              <w:top w:type="dxa" w:w="100"/>
              <w:left w:type="dxa" w:w="100"/>
              <w:bottom w:type="dxa" w:w="100"/>
              <w:right w:type="dxa" w:w="100"/>
            </w:tcMar>
            <w:vAlign w:val="top"/>
          </w:tcPr>
          <w:p>
            <w:pPr>
              <w:jc w:val="left"/>
            </w:pPr>
            <w:r>
              <w:rPr>
                <w:rFonts w:ascii="Calibri" w:cs="Calibri" w:eastAsia="Calibri" w:hAnsi="Calibri"/>
                <w:b w:val="false"/>
                <w:bCs w:val="false"/>
                <w:color w:val="17142A"/>
                <w:sz w:val="20"/>
                <w:szCs w:val="20"/>
              </w:rPr>
              <w:t xml:space="preserve">Individual sign-in, a managed job queue in place of the current background-run model, and expanding the knowledge base with more of the organization's own delivered projects — which directly improves how well new plans are grounded.</w:t>
            </w:r>
          </w:p>
        </w:tc>
      </w:tr>
    </w:tbl>
    <w:p>
      <w:pPr>
        <w:pBdr>
          <w:bottom w:val="single" w:color="D9D3EC" w:sz="4" w:space="1"/>
        </w:pBdr>
        <w:spacing w:after="120" w:before="120"/>
      </w:pPr>
    </w:p>
    <w:p>
      <w:pPr>
        <w:spacing w:after="40"/>
      </w:pPr>
      <w:r>
        <w:rPr>
          <w:rFonts w:ascii="Calibri" w:cs="Calibri" w:eastAsia="Calibri" w:hAnsi="Calibri"/>
          <w:color w:val="9791A8"/>
          <w:sz w:val="17"/>
          <w:szCs w:val="17"/>
        </w:rPr>
        <w:t xml:space="preserve">Charter — internal engineering tool</w:t>
      </w:r>
    </w:p>
    <w:p>
      <w:r>
        <w:rPr>
          <w:rFonts w:ascii="Calibri" w:cs="Calibri" w:eastAsia="Calibri" w:hAnsi="Calibri"/>
          <w:color w:val="9791A8"/>
          <w:sz w:val="17"/>
          <w:szCs w:val="17"/>
        </w:rPr>
        <w:t xml:space="preserve">Built on LangGraph, retrieval-augmented generation, and OpenAI GPT-4.1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2026-09-13T04:38:31.508Z</dcterms:created>
  <dcterms:modified xsi:type="dcterms:W3CDTF">2026-09-13T04:38:31.513Z</dcterms:modified>
</cp:coreProperties>
</file>

<file path=docProps/custom.xml><?xml version="1.0" encoding="utf-8"?>
<Properties xmlns="http://schemas.openxmlformats.org/officeDocument/2006/custom-properties" xmlns:vt="http://schemas.openxmlformats.org/officeDocument/2006/docPropsVTypes"/>
</file>