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1F497D"/>
          <w:sz w:val="44"/>
        </w:rPr>
        <w:t>Deep Ensemble Physics-Informed Neural Network</w:t>
      </w:r>
    </w:p>
    <w:p>
      <w:pPr>
        <w:jc w:val="center"/>
      </w:pPr>
      <w:r>
        <w:rPr>
          <w:i/>
          <w:color w:val="444444"/>
          <w:sz w:val="28"/>
        </w:rPr>
        <w:t>Inverse Circuit Predictor — System Description &amp; Validation Report</w:t>
      </w:r>
    </w:p>
    <w:p/>
    <w:p>
      <w:pPr>
        <w:jc w:val="center"/>
      </w:pPr>
      <w:r>
        <w:rPr>
          <w:color w:val="666666"/>
          <w:sz w:val="20"/>
        </w:rPr>
        <w:t>Validation Dataset: FINAL_4CLASSES.csv   |   Test Set: 30 samples   |   Ensemble: 5 PINNs   |   Architecture: [128 × 128 × 128 × 128]</w:t>
      </w:r>
    </w:p>
    <w:p/>
    <w:p>
      <w:pPr>
        <w:pBdr>
          <w:bottom w:val="single" w:sz="6" w:space="1" w:color="AAAAAA"/>
        </w:pBdr>
        <w:spacing w:after="160" w:before="160"/>
      </w:pPr>
    </w:p>
    <w:p>
      <w:pPr>
        <w:pStyle w:val="Heading1"/>
        <w:jc w:val="left"/>
      </w:pPr>
      <w:r>
        <w:rPr>
          <w:color w:val="1F497D"/>
        </w:rPr>
        <w:t>1. System Overview</w:t>
      </w:r>
    </w:p>
    <w:p>
      <w:pPr>
        <w:spacing w:after="120" w:before="40"/>
        <w:jc w:val="both"/>
      </w:pPr>
      <w:r>
        <w:rPr>
          <w:sz w:val="22"/>
        </w:rPr>
        <w:t xml:space="preserve">This report describes an end-to-end machine-learning pipeline developed for analog VLSI circuit sizing — a task known as the </w:t>
      </w:r>
      <w:r>
        <w:rPr>
          <w:b/>
          <w:sz w:val="22"/>
        </w:rPr>
        <w:t>Analog Design Automation (EDA) inverse problem</w:t>
      </w:r>
      <w:r>
        <w:rPr>
          <w:sz w:val="22"/>
        </w:rPr>
        <w:t xml:space="preserve">. The goal is to accept a set of desired amplifier performance specifications (Gain, Bandwidth, GBW, Power, Phase Margin, Gain Margin, PSRR, Slew Rate, and CMRR) and automatically output the corresponding transistor width dimensions (W12, W34, W58, W6, W7) that will realise those specifications. The pipeline is composed of three tightly integrated stages: (1) </w:t>
      </w:r>
      <w:r>
        <w:rPr>
          <w:b/>
          <w:sz w:val="22"/>
        </w:rPr>
        <w:t>Deep Ensemble PINN Training</w:t>
      </w:r>
      <w:r>
        <w:rPr>
          <w:sz w:val="22"/>
        </w:rPr>
        <w:t xml:space="preserve">, (2) </w:t>
      </w:r>
      <w:r>
        <w:rPr>
          <w:b/>
          <w:sz w:val="22"/>
        </w:rPr>
        <w:t>Multi-Start Inverse Optimisation with Epistemic UQ Guardrails</w:t>
      </w:r>
      <w:r>
        <w:rPr>
          <w:sz w:val="22"/>
        </w:rPr>
        <w:t xml:space="preserve">, and (3) </w:t>
      </w:r>
      <w:r>
        <w:rPr>
          <w:b/>
          <w:sz w:val="22"/>
        </w:rPr>
        <w:t>K-Means Design Region Clustering</w:t>
      </w:r>
      <w:r>
        <w:rPr>
          <w:sz w:val="22"/>
        </w:rPr>
        <w:t>.</w:t>
      </w:r>
    </w:p>
    <w:p>
      <w:pPr>
        <w:pStyle w:val="Heading1"/>
        <w:jc w:val="left"/>
      </w:pPr>
      <w:r>
        <w:rPr>
          <w:color w:val="1F497D"/>
        </w:rPr>
        <w:t>2. Stage 1 — Physics-Informed Neural Network Training</w:t>
      </w:r>
    </w:p>
    <w:p>
      <w:pPr>
        <w:pStyle w:val="Heading2"/>
        <w:jc w:val="left"/>
      </w:pPr>
      <w:r>
        <w:rPr>
          <w:color w:val="1F497D"/>
        </w:rPr>
        <w:t>2.1  Dataset</w:t>
      </w:r>
    </w:p>
    <w:p>
      <w:pPr>
        <w:spacing w:after="120" w:before="40"/>
        <w:jc w:val="both"/>
      </w:pPr>
      <w:r>
        <w:rPr>
          <w:sz w:val="22"/>
        </w:rPr>
        <w:t xml:space="preserve">The model is trained on </w:t>
      </w:r>
      <w:r>
        <w:rPr>
          <w:b/>
          <w:sz w:val="22"/>
        </w:rPr>
        <w:t>FINAL_4CLASSES.csv</w:t>
      </w:r>
      <w:r>
        <w:rPr>
          <w:sz w:val="22"/>
        </w:rPr>
        <w:t xml:space="preserve">, a SPICE-simulation dataset of a two-stage Miller-compensated CMOS operational amplifier. It contains </w:t>
      </w:r>
      <w:r>
        <w:rPr>
          <w:b/>
          <w:sz w:val="22"/>
        </w:rPr>
        <w:t>16,000 rows</w:t>
      </w:r>
      <w:r>
        <w:rPr>
          <w:sz w:val="22"/>
        </w:rPr>
        <w:t xml:space="preserve">, each representing a unique transistor sizing and temperature combination. The </w:t>
      </w:r>
      <w:r>
        <w:rPr>
          <w:b/>
          <w:sz w:val="22"/>
        </w:rPr>
        <w:t>10 input features</w:t>
      </w:r>
      <w:r>
        <w:rPr>
          <w:sz w:val="22"/>
        </w:rPr>
        <w:t xml:space="preserve"> are: Temperature (−40 to 125 °C), five transistor widths (W12, W34, W58, W6, W7), bias current Idc (130 µA), channel length L (0.18 µm), compensation capacitor CC (55 pF), and load capacitor CL (10 pF). The </w:t>
      </w:r>
      <w:r>
        <w:rPr>
          <w:b/>
          <w:sz w:val="22"/>
        </w:rPr>
        <w:t>9 regression target columns</w:t>
      </w:r>
      <w:r>
        <w:rPr>
          <w:sz w:val="22"/>
        </w:rPr>
        <w:t xml:space="preserve"> are the amplifier performance metrics listed above, plus a 4-way operating-class label for classification.</w:t>
      </w:r>
    </w:p>
    <w:p>
      <w:pPr>
        <w:pStyle w:val="Heading2"/>
        <w:jc w:val="left"/>
      </w:pPr>
      <w:r>
        <w:rPr>
          <w:color w:val="1F497D"/>
        </w:rPr>
        <w:t>2.2  Model Architecture</w:t>
      </w:r>
    </w:p>
    <w:p>
      <w:pPr>
        <w:spacing w:after="120" w:before="40"/>
        <w:jc w:val="both"/>
      </w:pPr>
      <w:r>
        <w:rPr>
          <w:sz w:val="22"/>
        </w:rPr>
        <w:t xml:space="preserve">Each individual PINN is a fully connected neural network with a shared backbone of </w:t>
      </w:r>
      <w:r>
        <w:rPr>
          <w:b/>
          <w:sz w:val="22"/>
        </w:rPr>
        <w:t>four hidden layers</w:t>
      </w:r>
      <w:r>
        <w:rPr>
          <w:sz w:val="22"/>
        </w:rPr>
        <w:t xml:space="preserve"> (each </w:t>
      </w:r>
      <w:r>
        <w:rPr>
          <w:b/>
          <w:sz w:val="22"/>
        </w:rPr>
        <w:t>128 neurons</w:t>
      </w:r>
      <w:r>
        <w:rPr>
          <w:sz w:val="22"/>
        </w:rPr>
        <w:t xml:space="preserve">, </w:t>
      </w:r>
      <w:r>
        <w:rPr>
          <w:b/>
          <w:sz w:val="22"/>
        </w:rPr>
        <w:t>ReLU activations</w:t>
      </w:r>
      <w:r>
        <w:rPr>
          <w:sz w:val="22"/>
        </w:rPr>
        <w:t xml:space="preserve">, </w:t>
      </w:r>
      <w:r>
        <w:rPr>
          <w:b/>
          <w:sz w:val="22"/>
        </w:rPr>
        <w:t>dropout rate = 0.047</w:t>
      </w:r>
      <w:r>
        <w:rPr>
          <w:sz w:val="22"/>
        </w:rPr>
        <w:t xml:space="preserve">), feeding two separate heads: a </w:t>
      </w:r>
      <w:r>
        <w:rPr>
          <w:b/>
          <w:sz w:val="22"/>
        </w:rPr>
        <w:t>regression head</w:t>
      </w:r>
      <w:r>
        <w:rPr>
          <w:sz w:val="22"/>
        </w:rPr>
        <w:t xml:space="preserve"> predicting the 9 performance metrics, and a </w:t>
      </w:r>
      <w:r>
        <w:rPr>
          <w:b/>
          <w:sz w:val="22"/>
        </w:rPr>
        <w:t>classification head</w:t>
      </w:r>
      <w:r>
        <w:rPr>
          <w:sz w:val="22"/>
        </w:rPr>
        <w:t xml:space="preserve"> predicting the operating class. The backbone is shared between both tasks, enabling </w:t>
      </w:r>
      <w:r>
        <w:rPr>
          <w:b/>
          <w:sz w:val="22"/>
        </w:rPr>
        <w:t>multi-task learning</w:t>
      </w:r>
      <w:r>
        <w:rPr>
          <w:sz w:val="22"/>
        </w:rPr>
        <w:t xml:space="preserve"> that regularises the internal representations.</w:t>
      </w:r>
    </w:p>
    <w:p>
      <w:pPr>
        <w:pStyle w:val="Heading2"/>
        <w:jc w:val="left"/>
      </w:pPr>
      <w:r>
        <w:rPr>
          <w:color w:val="1F497D"/>
        </w:rPr>
        <w:t>2.3  Physics-Informed Loss Function</w:t>
      </w:r>
    </w:p>
    <w:p>
      <w:pPr>
        <w:spacing w:after="120" w:before="40"/>
        <w:jc w:val="both"/>
      </w:pPr>
      <w:r>
        <w:rPr>
          <w:sz w:val="22"/>
        </w:rPr>
        <w:t xml:space="preserve">The critical differentiator of a PINN is its </w:t>
      </w:r>
      <w:r>
        <w:rPr>
          <w:b/>
          <w:sz w:val="22"/>
        </w:rPr>
        <w:t>composite loss function</w:t>
      </w:r>
      <w:r>
        <w:rPr>
          <w:sz w:val="22"/>
        </w:rPr>
        <w:t xml:space="preserve">. During training, the total loss L_total is a weighted combination of a </w:t>
      </w:r>
      <w:r>
        <w:rPr>
          <w:b/>
          <w:sz w:val="22"/>
        </w:rPr>
        <w:t>supervised data loss</w:t>
      </w:r>
      <w:r>
        <w:rPr>
          <w:sz w:val="22"/>
        </w:rPr>
        <w:t xml:space="preserve"> and a </w:t>
      </w:r>
      <w:r>
        <w:rPr>
          <w:b/>
          <w:sz w:val="22"/>
        </w:rPr>
        <w:t>physics residual loss</w:t>
      </w:r>
      <w:r>
        <w:rPr>
          <w:sz w:val="22"/>
        </w:rPr>
        <w:t>:</w:t>
      </w:r>
    </w:p>
    <w:p>
      <w:pPr>
        <w:spacing w:before="120" w:after="120"/>
        <w:jc w:val="center"/>
      </w:pPr>
      <w:r>
        <w:rPr>
          <w:b/>
          <w:sz w:val="24"/>
        </w:rPr>
        <w:t>L_total  =  (1 − α) × L_supervised  +  α × L_physics</w:t>
      </w:r>
    </w:p>
    <w:p>
      <w:pPr>
        <w:spacing w:after="120" w:before="40"/>
        <w:jc w:val="both"/>
      </w:pPr>
      <w:r>
        <w:rPr>
          <w:sz w:val="22"/>
        </w:rPr>
        <w:t>where α ramps from 0 to 0.58 over the first 50 epochs (</w:t>
      </w:r>
      <w:r>
        <w:rPr>
          <w:b/>
          <w:sz w:val="22"/>
        </w:rPr>
        <w:t>curriculum scheduling</w:t>
      </w:r>
      <w:r>
        <w:rPr>
          <w:sz w:val="22"/>
        </w:rPr>
        <w:t xml:space="preserve">), and L_physics enforces </w:t>
      </w:r>
      <w:r>
        <w:rPr>
          <w:b/>
          <w:sz w:val="22"/>
        </w:rPr>
        <w:t>five CMOS circuit laws</w:t>
      </w:r>
      <w:r>
        <w:rPr>
          <w:sz w:val="22"/>
        </w:rPr>
        <w:t xml:space="preserve"> derived from transistor-level equations: (1) </w:t>
      </w:r>
      <w:r>
        <w:rPr>
          <w:b/>
          <w:sz w:val="22"/>
        </w:rPr>
        <w:t>Voltage Gain</w:t>
      </w:r>
      <w:r>
        <w:rPr>
          <w:sz w:val="22"/>
        </w:rPr>
        <w:t xml:space="preserve"> — computed from transconductances gm12, gm34, gm6 and output resistances ro; (2) </w:t>
      </w:r>
      <w:r>
        <w:rPr>
          <w:b/>
          <w:sz w:val="22"/>
        </w:rPr>
        <w:t>Gain-Bandwidth Product</w:t>
      </w:r>
      <w:r>
        <w:rPr>
          <w:sz w:val="22"/>
        </w:rPr>
        <w:t xml:space="preserve"> — derived from gain × bandwidth × phase-margin correction; (3) </w:t>
      </w:r>
      <w:r>
        <w:rPr>
          <w:b/>
          <w:sz w:val="22"/>
        </w:rPr>
        <w:t>Slew Rate</w:t>
      </w:r>
      <w:r>
        <w:rPr>
          <w:sz w:val="22"/>
        </w:rPr>
        <w:t xml:space="preserve"> — Idc / (2 × Cc); (4) </w:t>
      </w:r>
      <w:r>
        <w:rPr>
          <w:b/>
          <w:sz w:val="22"/>
        </w:rPr>
        <w:t>Power Dissipation</w:t>
      </w:r>
      <w:r>
        <w:rPr>
          <w:sz w:val="22"/>
        </w:rPr>
        <w:t xml:space="preserve"> — VDD × Idc; (5) </w:t>
      </w:r>
      <w:r>
        <w:rPr>
          <w:b/>
          <w:sz w:val="22"/>
        </w:rPr>
        <w:t>CMRR</w:t>
      </w:r>
      <w:r>
        <w:rPr>
          <w:sz w:val="22"/>
        </w:rPr>
        <w:t xml:space="preserve"> — from differential-pair transconductance. These physics residuals act as </w:t>
      </w:r>
      <w:r>
        <w:rPr>
          <w:b/>
          <w:sz w:val="22"/>
        </w:rPr>
        <w:t>structural regularisers</w:t>
      </w:r>
      <w:r>
        <w:rPr>
          <w:sz w:val="22"/>
        </w:rPr>
        <w:t>, preventing the model from learning physically impossible mappings, and are the key reason the model generalises better than a plain MLP.</w:t>
      </w:r>
    </w:p>
    <w:p>
      <w:pPr>
        <w:pStyle w:val="Heading2"/>
        <w:jc w:val="left"/>
      </w:pPr>
      <w:r>
        <w:rPr>
          <w:color w:val="1F497D"/>
        </w:rPr>
        <w:t>2.4  Deep Ensemble Strategy</w:t>
      </w:r>
    </w:p>
    <w:p>
      <w:pPr>
        <w:spacing w:after="120" w:before="40"/>
        <w:jc w:val="both"/>
      </w:pPr>
      <w:r>
        <w:rPr>
          <w:sz w:val="22"/>
        </w:rPr>
      </w:r>
      <w:r>
        <w:rPr>
          <w:b/>
          <w:sz w:val="22"/>
        </w:rPr>
        <w:t>Five independent PINNs</w:t>
      </w:r>
      <w:r>
        <w:rPr>
          <w:sz w:val="22"/>
        </w:rPr>
        <w:t xml:space="preserve"> are trained, each initialised with a </w:t>
      </w:r>
      <w:r>
        <w:rPr>
          <w:b/>
          <w:sz w:val="22"/>
        </w:rPr>
        <w:t>different random seed</w:t>
      </w:r>
      <w:r>
        <w:rPr>
          <w:sz w:val="22"/>
        </w:rPr>
        <w:t xml:space="preserve"> (seeds 43–47). All five models see the same training data but start from </w:t>
      </w:r>
      <w:r>
        <w:rPr>
          <w:b/>
          <w:sz w:val="22"/>
        </w:rPr>
        <w:t>different points in weight space</w:t>
      </w:r>
      <w:r>
        <w:rPr>
          <w:sz w:val="22"/>
        </w:rPr>
        <w:t xml:space="preserve">, causing them to explore different loss-landscape basins. This produces a diverse committee of experts whose disagreement directly encodes </w:t>
      </w:r>
      <w:r>
        <w:rPr>
          <w:b/>
          <w:sz w:val="22"/>
        </w:rPr>
        <w:t>Epistemic (model) Uncertainty</w:t>
      </w:r>
      <w:r>
        <w:rPr>
          <w:sz w:val="22"/>
        </w:rPr>
        <w:t xml:space="preserve">. The </w:t>
      </w:r>
      <w:r>
        <w:rPr>
          <w:b/>
          <w:sz w:val="22"/>
        </w:rPr>
        <w:t>ensemble mean</w:t>
      </w:r>
      <w:r>
        <w:rPr>
          <w:sz w:val="22"/>
        </w:rPr>
        <w:t xml:space="preserve"> is the final prediction; the </w:t>
      </w:r>
      <w:r>
        <w:rPr>
          <w:b/>
          <w:sz w:val="22"/>
        </w:rPr>
        <w:t>ensemble variance</w:t>
      </w:r>
      <w:r>
        <w:rPr>
          <w:sz w:val="22"/>
        </w:rPr>
        <w:t xml:space="preserve"> quantifies how confident the model is about any given input point.</w:t>
      </w:r>
    </w:p>
    <w:p>
      <w:pPr>
        <w:spacing w:after="120" w:before="40"/>
        <w:jc w:val="both"/>
      </w:pPr>
      <w:r>
        <w:rPr>
          <w:sz w:val="22"/>
        </w:rPr>
        <w:t>Concretely, for any input x, the ensemble produces predictions {f_1(x), f_2(x), ..., f_5(x)}, and we compute:</w:t>
        <w:br/>
        <w:t xml:space="preserve">     μ(x) = (1/5) Σ f_i(x)          [</w:t>
      </w:r>
      <w:r>
        <w:rPr>
          <w:b/>
          <w:sz w:val="22"/>
        </w:rPr>
        <w:t>Ensemble Mean</w:t>
      </w:r>
      <w:r>
        <w:rPr>
          <w:sz w:val="22"/>
        </w:rPr>
        <w:t xml:space="preserve"> — used as the final output]</w:t>
        <w:br/>
        <w:t xml:space="preserve">     σ²(x) = (1/5) Σ (f_i(x) − μ)²  [Ensemble Variance — </w:t>
      </w:r>
      <w:r>
        <w:rPr>
          <w:b/>
          <w:sz w:val="22"/>
        </w:rPr>
        <w:t>Epistemic Uncertainty</w:t>
      </w:r>
      <w:r>
        <w:rPr>
          <w:sz w:val="22"/>
        </w:rPr>
        <w:t>]</w:t>
      </w:r>
    </w:p>
    <w:p>
      <w:pPr>
        <w:spacing w:after="120" w:before="40"/>
        <w:jc w:val="both"/>
      </w:pPr>
      <w:r>
        <w:rPr>
          <w:sz w:val="22"/>
        </w:rPr>
        <w:t xml:space="preserve">Training hyperparameters: </w:t>
      </w:r>
      <w:r>
        <w:rPr>
          <w:b/>
          <w:sz w:val="22"/>
        </w:rPr>
        <w:t>Adam optimiser</w:t>
      </w:r>
      <w:r>
        <w:rPr>
          <w:sz w:val="22"/>
        </w:rPr>
        <w:t xml:space="preserve">, </w:t>
      </w:r>
      <w:r>
        <w:rPr>
          <w:b/>
          <w:sz w:val="22"/>
        </w:rPr>
        <w:t>learning rate 0.000866</w:t>
      </w:r>
      <w:r>
        <w:rPr>
          <w:sz w:val="22"/>
        </w:rPr>
        <w:t xml:space="preserve">, batch size 64, </w:t>
      </w:r>
      <w:r>
        <w:rPr>
          <w:b/>
          <w:sz w:val="22"/>
        </w:rPr>
        <w:t>60 epochs</w:t>
      </w:r>
      <w:r>
        <w:rPr>
          <w:sz w:val="22"/>
        </w:rPr>
        <w:t xml:space="preserve"> per model, classification weight 4.30 × CrossEntropy. The 16,000-row dataset is split </w:t>
      </w:r>
      <w:r>
        <w:rPr>
          <w:b/>
          <w:sz w:val="22"/>
        </w:rPr>
        <w:t>64% train / 16% validation / 20% test</w:t>
      </w:r>
      <w:r>
        <w:rPr>
          <w:sz w:val="22"/>
        </w:rPr>
        <w:t>. The five .pth checkpoint files are saved alongside the StandardScaler objects (</w:t>
      </w:r>
      <w:r>
        <w:rPr>
          <w:b/>
          <w:sz w:val="22"/>
        </w:rPr>
        <w:t>scaler_X.pkl</w:t>
      </w:r>
      <w:r>
        <w:rPr>
          <w:sz w:val="22"/>
        </w:rPr>
        <w:t xml:space="preserve">, </w:t>
      </w:r>
      <w:r>
        <w:rPr>
          <w:b/>
          <w:sz w:val="22"/>
        </w:rPr>
        <w:t>scaler_y_reg.pkl</w:t>
      </w:r>
      <w:r>
        <w:rPr>
          <w:sz w:val="22"/>
        </w:rPr>
        <w:t>) that are reused during inference.</w:t>
      </w:r>
    </w:p>
    <w:p>
      <w:pPr>
        <w:pStyle w:val="Heading1"/>
        <w:jc w:val="left"/>
      </w:pPr>
      <w:r>
        <w:rPr>
          <w:color w:val="1F497D"/>
        </w:rPr>
        <w:t>3. Stage 2 — Multi-Start Inverse Optimisation</w:t>
      </w:r>
    </w:p>
    <w:p>
      <w:pPr>
        <w:pStyle w:val="Heading2"/>
        <w:jc w:val="left"/>
      </w:pPr>
      <w:r>
        <w:rPr>
          <w:color w:val="1F497D"/>
        </w:rPr>
        <w:t>3.1  The Inverse Problem</w:t>
      </w:r>
    </w:p>
    <w:p>
      <w:pPr>
        <w:spacing w:after="120" w:before="40"/>
        <w:jc w:val="both"/>
      </w:pPr>
      <w:r>
        <w:rPr>
          <w:sz w:val="22"/>
        </w:rPr>
        <w:t xml:space="preserve">The forward PINN maps (widths, conditions) → performance. The inverse problem reverses this: given a target performance vector P*, find the width vector W such that PINN(W, conditions) ≈ P*. This is fundamentally </w:t>
      </w:r>
      <w:r>
        <w:rPr>
          <w:b/>
          <w:sz w:val="22"/>
        </w:rPr>
        <w:t>ill-posed</w:t>
      </w:r>
      <w:r>
        <w:rPr>
          <w:sz w:val="22"/>
        </w:rPr>
        <w:t xml:space="preserve"> — many different width combinations can produce the same performance (the </w:t>
      </w:r>
      <w:r>
        <w:rPr>
          <w:b/>
          <w:sz w:val="22"/>
        </w:rPr>
        <w:t>many-to-one mapping problem</w:t>
      </w:r>
      <w:r>
        <w:rPr>
          <w:sz w:val="22"/>
        </w:rPr>
        <w:t xml:space="preserve">). A naïve single-start gradient descent would converge to only one solution, missing all others. The </w:t>
      </w:r>
      <w:r>
        <w:rPr>
          <w:b/>
          <w:sz w:val="22"/>
        </w:rPr>
        <w:t>Multi-Start strategy</w:t>
      </w:r>
      <w:r>
        <w:rPr>
          <w:sz w:val="22"/>
        </w:rPr>
        <w:t xml:space="preserve"> launches </w:t>
      </w:r>
      <w:r>
        <w:rPr>
          <w:b/>
          <w:sz w:val="22"/>
        </w:rPr>
        <w:t>1,000 parallel Adam optimisers</w:t>
      </w:r>
      <w:r>
        <w:rPr>
          <w:sz w:val="22"/>
        </w:rPr>
        <w:t xml:space="preserve"> simultaneously.</w:t>
      </w:r>
    </w:p>
    <w:p>
      <w:pPr>
        <w:pStyle w:val="Heading2"/>
        <w:jc w:val="left"/>
      </w:pPr>
      <w:r>
        <w:rPr>
          <w:color w:val="1F497D"/>
        </w:rPr>
        <w:t>3.2  Optimisation Procedure</w:t>
      </w:r>
    </w:p>
    <w:p>
      <w:pPr>
        <w:spacing w:after="120" w:before="40"/>
        <w:jc w:val="both"/>
      </w:pPr>
      <w:r>
        <w:rPr>
          <w:sz w:val="22"/>
        </w:rPr>
        <w:t xml:space="preserve">Each of the </w:t>
      </w:r>
      <w:r>
        <w:rPr>
          <w:b/>
          <w:sz w:val="22"/>
        </w:rPr>
        <w:t>1,000 starts</w:t>
      </w:r>
      <w:r>
        <w:rPr>
          <w:sz w:val="22"/>
        </w:rPr>
        <w:t xml:space="preserve"> is initialised to a noisy perturbation of the scaler mean: W_raw_init ~ μ_W + N(0, 1.5). The physical width is recovered via </w:t>
      </w:r>
      <w:r>
        <w:rPr>
          <w:b/>
          <w:sz w:val="22"/>
        </w:rPr>
        <w:t>softplus</w:t>
      </w:r>
      <w:r>
        <w:rPr>
          <w:sz w:val="22"/>
        </w:rPr>
        <w:t>: W_phys = softplus(W_raw), guaranteeing positivity. At each Adam step (</w:t>
      </w:r>
      <w:r>
        <w:rPr>
          <w:b/>
          <w:sz w:val="22"/>
        </w:rPr>
        <w:t>1,500 epochs</w:t>
      </w:r>
      <w:r>
        <w:rPr>
          <w:sz w:val="22"/>
        </w:rPr>
        <w:t xml:space="preserve">, lr = 0.1), the following </w:t>
      </w:r>
      <w:r>
        <w:rPr>
          <w:b/>
          <w:sz w:val="22"/>
        </w:rPr>
        <w:t>composite loss</w:t>
      </w:r>
      <w:r>
        <w:rPr>
          <w:sz w:val="22"/>
        </w:rPr>
        <w:t xml:space="preserve"> is minimised:</w:t>
      </w:r>
    </w:p>
    <w:p>
      <w:pPr>
        <w:spacing w:before="80" w:after="80"/>
        <w:jc w:val="center"/>
      </w:pPr>
      <w:r>
        <w:rPr>
          <w:b/>
          <w:sz w:val="24"/>
        </w:rPr>
        <w:t>L_inverse  =  L_MSE(μ_ensemble(W), P*)  +  λ × σ²_ensemble(W)</w:t>
      </w:r>
    </w:p>
    <w:p>
      <w:pPr>
        <w:spacing w:after="120" w:before="40"/>
        <w:jc w:val="both"/>
      </w:pPr>
      <w:r>
        <w:rPr>
          <w:sz w:val="22"/>
        </w:rPr>
        <w:t xml:space="preserve">The first term minimises the squared difference between the ensemble-predicted performance (mean of 5 PINNs) and the target specification. The second term — the </w:t>
      </w:r>
      <w:r>
        <w:rPr>
          <w:b/>
          <w:sz w:val="22"/>
        </w:rPr>
        <w:t>Epistemic UQ Guardrail</w:t>
      </w:r>
      <w:r>
        <w:rPr>
          <w:sz w:val="22"/>
        </w:rPr>
        <w:t xml:space="preserve"> — penalises solutions that fall in regions of high model disagreement (</w:t>
      </w:r>
      <w:r>
        <w:rPr>
          <w:b/>
          <w:sz w:val="22"/>
        </w:rPr>
        <w:t>λ = 2.0</w:t>
      </w:r>
      <w:r>
        <w:rPr>
          <w:sz w:val="22"/>
        </w:rPr>
        <w:t>). This prevents the optimiser from '</w:t>
      </w:r>
      <w:r>
        <w:rPr>
          <w:b/>
          <w:sz w:val="22"/>
        </w:rPr>
        <w:t>hallucinating</w:t>
      </w:r>
      <w:r>
        <w:rPr>
          <w:sz w:val="22"/>
        </w:rPr>
        <w:t xml:space="preserve">' widths in poorly sampled regions of design space where the PINN's predictions are unreliable. After 1,500 Adam steps, every start's final MSE loss is computed in a clean no-grad forward pass, and starts with </w:t>
      </w:r>
      <w:r>
        <w:rPr>
          <w:b/>
          <w:sz w:val="22"/>
        </w:rPr>
        <w:t>MSE &lt; 0.05</w:t>
      </w:r>
      <w:r>
        <w:rPr>
          <w:sz w:val="22"/>
        </w:rPr>
        <w:t xml:space="preserve"> are classified as </w:t>
      </w:r>
      <w:r>
        <w:rPr>
          <w:b/>
          <w:sz w:val="22"/>
        </w:rPr>
        <w:t>valid solutions</w:t>
      </w:r>
      <w:r>
        <w:rPr>
          <w:sz w:val="22"/>
        </w:rPr>
        <w:t>.</w:t>
      </w:r>
    </w:p>
    <w:p>
      <w:pPr>
        <w:pStyle w:val="Heading1"/>
        <w:jc w:val="left"/>
      </w:pPr>
      <w:r>
        <w:rPr>
          <w:color w:val="1F497D"/>
        </w:rPr>
        <w:t>4. Stage 3 — K-Means Design Region Clustering</w:t>
      </w:r>
    </w:p>
    <w:p>
      <w:pPr>
        <w:spacing w:after="120" w:before="40"/>
        <w:jc w:val="both"/>
      </w:pPr>
      <w:r>
        <w:rPr>
          <w:sz w:val="22"/>
        </w:rPr>
        <w:t xml:space="preserve">The set of valid solutions (typically several hundred out of 1,000 starts) lies in the 5-dimensional transistor-width space. To present diverse, non-redundant design options to the circuit designer, </w:t>
      </w:r>
      <w:r>
        <w:rPr>
          <w:b/>
          <w:sz w:val="22"/>
        </w:rPr>
        <w:t>K-Means clustering (K = 5)</w:t>
      </w:r>
      <w:r>
        <w:rPr>
          <w:sz w:val="22"/>
        </w:rPr>
        <w:t xml:space="preserve"> is applied directly in this width space. Each cluster captures a </w:t>
      </w:r>
      <w:r>
        <w:rPr>
          <w:b/>
          <w:sz w:val="22"/>
        </w:rPr>
        <w:t>distinct design region</w:t>
      </w:r>
      <w:r>
        <w:rPr>
          <w:sz w:val="22"/>
        </w:rPr>
        <w:t xml:space="preserve"> — a fundamentally different transistor sizing strategy that all satisfy the target specification. From each cluster, the solution with the </w:t>
      </w:r>
      <w:r>
        <w:rPr>
          <w:b/>
          <w:sz w:val="22"/>
        </w:rPr>
        <w:t>lowest MSE loss</w:t>
      </w:r>
      <w:r>
        <w:rPr>
          <w:sz w:val="22"/>
        </w:rPr>
        <w:t xml:space="preserve"> is selected as the representative design candidate. This representative is then passed through all five PINN ensemble models to produce a final performance prediction with </w:t>
      </w:r>
      <w:r>
        <w:rPr>
          <w:b/>
          <w:sz w:val="22"/>
        </w:rPr>
        <w:t>±2σ (95% confidence interval)</w:t>
      </w:r>
      <w:r>
        <w:rPr>
          <w:sz w:val="22"/>
        </w:rPr>
        <w:t xml:space="preserve"> epistemic uncertainty bounds.</w:t>
      </w:r>
    </w:p>
    <w:p>
      <w:pPr>
        <w:spacing w:after="120" w:before="40"/>
        <w:jc w:val="both"/>
      </w:pPr>
      <w:r>
        <w:rPr>
          <w:sz w:val="22"/>
        </w:rPr>
        <w:t xml:space="preserve">The width spread within each cluster (±σ per width) provides a second type of uncertainty — </w:t>
      </w:r>
      <w:r>
        <w:rPr>
          <w:b/>
          <w:sz w:val="22"/>
        </w:rPr>
        <w:t>Design Flexibility Uncertainty</w:t>
      </w:r>
      <w:r>
        <w:rPr>
          <w:sz w:val="22"/>
        </w:rPr>
        <w:t xml:space="preserve">. A large ±σ on a width means that dimension is </w:t>
      </w:r>
      <w:r>
        <w:rPr>
          <w:b/>
          <w:sz w:val="22"/>
        </w:rPr>
        <w:t>non-critical</w:t>
      </w:r>
      <w:r>
        <w:rPr>
          <w:sz w:val="22"/>
        </w:rPr>
        <w:t xml:space="preserve">: neighboring widths still satisfy the spec. A small ±σ means the width is </w:t>
      </w:r>
      <w:r>
        <w:rPr>
          <w:b/>
          <w:sz w:val="22"/>
        </w:rPr>
        <w:t>tightly constrained</w:t>
      </w:r>
      <w:r>
        <w:rPr>
          <w:sz w:val="22"/>
        </w:rPr>
        <w:t xml:space="preserve"> and must be fabricated precisely.</w:t>
      </w:r>
    </w:p>
    <w:p>
      <w:pPr>
        <w:pStyle w:val="Heading1"/>
        <w:jc w:val="left"/>
      </w:pPr>
      <w:r>
        <w:rPr>
          <w:color w:val="1F497D"/>
        </w:rPr>
        <w:t>5. Validation Methodology</w:t>
      </w:r>
    </w:p>
    <w:p>
      <w:pPr>
        <w:spacing w:after="120" w:before="40"/>
        <w:jc w:val="both"/>
      </w:pPr>
      <w:r>
        <w:rPr>
          <w:sz w:val="22"/>
        </w:rPr>
        <w:t xml:space="preserve">To rigorously evaluate the inverse predictor, a </w:t>
      </w:r>
      <w:r>
        <w:rPr>
          <w:b/>
          <w:sz w:val="22"/>
        </w:rPr>
        <w:t>stratified test set of 30 rows</w:t>
      </w:r>
      <w:r>
        <w:rPr>
          <w:sz w:val="22"/>
        </w:rPr>
        <w:t xml:space="preserve"> was drawn from the dataset using </w:t>
      </w:r>
      <w:r>
        <w:rPr>
          <w:b/>
          <w:sz w:val="22"/>
        </w:rPr>
        <w:t>temperature-bin stratification</w:t>
      </w:r>
      <w:r>
        <w:rPr>
          <w:sz w:val="22"/>
        </w:rPr>
        <w:t xml:space="preserve"> (ensuring coverage across −40 °C to 125 °C). For each test row, the ground-truth widths and performance targets are both known. The validation procedure strips the widths and uses only the performance targets as input to the inverse predictor. The predicted widths are then fed back through the forward ensemble to produce a </w:t>
      </w:r>
      <w:r>
        <w:rPr>
          <w:b/>
          <w:sz w:val="22"/>
        </w:rPr>
        <w:t>forward-validated performance prediction</w:t>
      </w:r>
      <w:r>
        <w:rPr>
          <w:sz w:val="22"/>
        </w:rPr>
        <w:t>. The error between this forward-validated output and the original target quantifies how accurately the inverse predictor solves the sizing problem.</w:t>
      </w:r>
    </w:p>
    <w:p>
      <w:pPr>
        <w:pStyle w:val="Heading1"/>
        <w:jc w:val="left"/>
      </w:pPr>
      <w:r>
        <w:rPr>
          <w:color w:val="1F497D"/>
        </w:rPr>
        <w:t>6. Key Validation Results — Summary</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2E4053"/>
          </w:tcPr>
          <w:p>
            <w:r>
              <w:rPr>
                <w:b/>
                <w:color w:val="FFFFFF"/>
                <w:sz w:val="21"/>
              </w:rPr>
              <w:t>Metric</w:t>
            </w:r>
          </w:p>
        </w:tc>
        <w:tc>
          <w:tcPr>
            <w:tcW w:type="dxa" w:w="3022"/>
            <w:shd w:val="clear" w:color="auto" w:fill="2E4053"/>
          </w:tcPr>
          <w:p>
            <w:r>
              <w:rPr>
                <w:b/>
                <w:color w:val="FFFFFF"/>
                <w:sz w:val="21"/>
              </w:rPr>
              <w:t>Value</w:t>
            </w:r>
          </w:p>
        </w:tc>
        <w:tc>
          <w:tcPr>
            <w:tcW w:type="dxa" w:w="3022"/>
            <w:shd w:val="clear" w:color="auto" w:fill="2E4053"/>
          </w:tcPr>
          <w:p>
            <w:r>
              <w:rPr>
                <w:b/>
                <w:color w:val="FFFFFF"/>
                <w:sz w:val="21"/>
              </w:rPr>
              <w:t>What It Means</w:t>
            </w:r>
          </w:p>
        </w:tc>
      </w:tr>
      <w:tr>
        <w:tc>
          <w:tcPr>
            <w:tcW w:type="dxa" w:w="3022"/>
            <w:shd w:val="clear" w:color="auto" w:fill="EBF5FB"/>
          </w:tcPr>
          <w:p>
            <w:r>
              <w:rPr>
                <w:sz w:val="21"/>
              </w:rPr>
              <w:t>Yield Rate</w:t>
            </w:r>
          </w:p>
        </w:tc>
        <w:tc>
          <w:tcPr>
            <w:tcW w:type="dxa" w:w="3022"/>
            <w:shd w:val="clear" w:color="auto" w:fill="EBF5FB"/>
          </w:tcPr>
          <w:p>
            <w:r>
              <w:rPr>
                <w:sz w:val="21"/>
              </w:rPr>
              <w:t>100.0%</w:t>
            </w:r>
          </w:p>
        </w:tc>
        <w:tc>
          <w:tcPr>
            <w:tcW w:type="dxa" w:w="3022"/>
            <w:shd w:val="clear" w:color="auto" w:fill="EBF5FB"/>
          </w:tcPr>
          <w:p>
            <w:r>
              <w:rPr>
                <w:sz w:val="21"/>
              </w:rPr>
              <w:t>Fraction of test samples solved</w:t>
            </w:r>
          </w:p>
        </w:tc>
      </w:tr>
      <w:tr>
        <w:tc>
          <w:tcPr>
            <w:tcW w:type="dxa" w:w="3022"/>
            <w:shd w:val="clear" w:color="auto" w:fill="FDFEFE"/>
          </w:tcPr>
          <w:p>
            <w:r>
              <w:rPr>
                <w:sz w:val="21"/>
              </w:rPr>
              <w:t>Mean Forward Validation MSE</w:t>
            </w:r>
          </w:p>
        </w:tc>
        <w:tc>
          <w:tcPr>
            <w:tcW w:type="dxa" w:w="3022"/>
            <w:shd w:val="clear" w:color="auto" w:fill="FDFEFE"/>
          </w:tcPr>
          <w:p>
            <w:r>
              <w:rPr>
                <w:sz w:val="21"/>
              </w:rPr>
              <w:t>0.00454  (range 0.00052–0.04182)</w:t>
            </w:r>
          </w:p>
        </w:tc>
        <w:tc>
          <w:tcPr>
            <w:tcW w:type="dxa" w:w="3022"/>
            <w:shd w:val="clear" w:color="auto" w:fill="FDFEFE"/>
          </w:tcPr>
          <w:p>
            <w:r>
              <w:rPr>
                <w:sz w:val="21"/>
              </w:rPr>
              <w:t>Scaled target distance</w:t>
            </w:r>
          </w:p>
        </w:tc>
      </w:tr>
      <w:tr>
        <w:tc>
          <w:tcPr>
            <w:tcW w:type="dxa" w:w="3022"/>
            <w:shd w:val="clear" w:color="auto" w:fill="EBF5FB"/>
          </w:tcPr>
          <w:p>
            <w:r>
              <w:rPr>
                <w:sz w:val="21"/>
              </w:rPr>
              <w:t>Mean % Error (all metrics)</w:t>
            </w:r>
          </w:p>
        </w:tc>
        <w:tc>
          <w:tcPr>
            <w:tcW w:type="dxa" w:w="3022"/>
            <w:shd w:val="clear" w:color="auto" w:fill="EBF5FB"/>
          </w:tcPr>
          <w:p>
            <w:r>
              <w:rPr>
                <w:sz w:val="21"/>
              </w:rPr>
              <w:t>2.14%  (range 0.48–10.76%)</w:t>
            </w:r>
          </w:p>
        </w:tc>
        <w:tc>
          <w:tcPr>
            <w:tcW w:type="dxa" w:w="3022"/>
            <w:shd w:val="clear" w:color="auto" w:fill="EBF5FB"/>
          </w:tcPr>
          <w:p>
            <w:r>
              <w:rPr>
                <w:sz w:val="21"/>
              </w:rPr>
              <w:t>Per-spec accuracy</w:t>
            </w:r>
          </w:p>
        </w:tc>
      </w:tr>
      <w:tr>
        <w:tc>
          <w:tcPr>
            <w:tcW w:type="dxa" w:w="3022"/>
            <w:shd w:val="clear" w:color="auto" w:fill="FDFEFE"/>
          </w:tcPr>
          <w:p>
            <w:r>
              <w:rPr>
                <w:sz w:val="21"/>
              </w:rPr>
              <w:t>Avg Worst-Metric Error</w:t>
            </w:r>
          </w:p>
        </w:tc>
        <w:tc>
          <w:tcPr>
            <w:tcW w:type="dxa" w:w="3022"/>
            <w:shd w:val="clear" w:color="auto" w:fill="FDFEFE"/>
          </w:tcPr>
          <w:p>
            <w:r>
              <w:rPr>
                <w:sz w:val="21"/>
              </w:rPr>
              <w:t>12.79%</w:t>
            </w:r>
          </w:p>
        </w:tc>
        <w:tc>
          <w:tcPr>
            <w:tcW w:type="dxa" w:w="3022"/>
            <w:shd w:val="clear" w:color="auto" w:fill="FDFEFE"/>
          </w:tcPr>
          <w:p>
            <w:r>
              <w:rPr>
                <w:sz w:val="21"/>
              </w:rPr>
              <w:t>Hardest spec per sample</w:t>
            </w:r>
          </w:p>
        </w:tc>
      </w:tr>
      <w:tr>
        <w:tc>
          <w:tcPr>
            <w:tcW w:type="dxa" w:w="3022"/>
            <w:shd w:val="clear" w:color="auto" w:fill="EBF5FB"/>
          </w:tcPr>
          <w:p>
            <w:r>
              <w:rPr>
                <w:sz w:val="21"/>
              </w:rPr>
              <w:t>Mean Valid Solutions / Run</w:t>
            </w:r>
          </w:p>
        </w:tc>
        <w:tc>
          <w:tcPr>
            <w:tcW w:type="dxa" w:w="3022"/>
            <w:shd w:val="clear" w:color="auto" w:fill="EBF5FB"/>
          </w:tcPr>
          <w:p>
            <w:r>
              <w:rPr>
                <w:sz w:val="21"/>
              </w:rPr>
              <w:t>954 / 1000</w:t>
            </w:r>
          </w:p>
        </w:tc>
        <w:tc>
          <w:tcPr>
            <w:tcW w:type="dxa" w:w="3022"/>
            <w:shd w:val="clear" w:color="auto" w:fill="EBF5FB"/>
          </w:tcPr>
          <w:p>
            <w:r>
              <w:rPr>
                <w:sz w:val="21"/>
              </w:rPr>
              <w:t>Coverage of start space</w:t>
            </w:r>
          </w:p>
        </w:tc>
      </w:tr>
      <w:tr>
        <w:tc>
          <w:tcPr>
            <w:tcW w:type="dxa" w:w="3022"/>
            <w:shd w:val="clear" w:color="auto" w:fill="FDFEFE"/>
          </w:tcPr>
          <w:p>
            <w:r>
              <w:rPr>
                <w:sz w:val="21"/>
              </w:rPr>
              <w:t>Mean Width-Space Diversity</w:t>
            </w:r>
          </w:p>
        </w:tc>
        <w:tc>
          <w:tcPr>
            <w:tcW w:type="dxa" w:w="3022"/>
            <w:shd w:val="clear" w:color="auto" w:fill="FDFEFE"/>
          </w:tcPr>
          <w:p>
            <w:r>
              <w:rPr>
                <w:sz w:val="21"/>
              </w:rPr>
              <w:t>5.625 µm  (range 0.432–22.99)</w:t>
            </w:r>
          </w:p>
        </w:tc>
        <w:tc>
          <w:tcPr>
            <w:tcW w:type="dxa" w:w="3022"/>
            <w:shd w:val="clear" w:color="auto" w:fill="FDFEFE"/>
          </w:tcPr>
          <w:p>
            <w:r>
              <w:rPr>
                <w:sz w:val="21"/>
              </w:rPr>
              <w:t>K-Means region spread</w:t>
            </w:r>
          </w:p>
        </w:tc>
      </w:tr>
    </w:tbl>
    <w:p/>
    <w:p>
      <w:pPr>
        <w:spacing w:after="120" w:before="40"/>
        <w:jc w:val="both"/>
      </w:pPr>
      <w:r>
        <w:rPr>
          <w:sz w:val="22"/>
        </w:rPr>
        <w:t xml:space="preserve">The inverse predictor achieved a </w:t>
      </w:r>
      <w:r>
        <w:rPr>
          <w:b/>
          <w:sz w:val="22"/>
        </w:rPr>
        <w:t>100% yield rate</w:t>
      </w:r>
      <w:r>
        <w:rPr>
          <w:sz w:val="22"/>
        </w:rPr>
        <w:t xml:space="preserve"> across all 30 test samples — meaning valid transistor sizing solutions were found for every target specification tested. The </w:t>
      </w:r>
      <w:r>
        <w:rPr>
          <w:b/>
          <w:sz w:val="22"/>
        </w:rPr>
        <w:t>mean forward validation error of 2.14%</w:t>
      </w:r>
      <w:r>
        <w:rPr>
          <w:sz w:val="22"/>
        </w:rPr>
        <w:t xml:space="preserve"> across all nine performance metrics is </w:t>
      </w:r>
      <w:r>
        <w:rPr>
          <w:b/>
          <w:sz w:val="22"/>
        </w:rPr>
        <w:t>well within engineering design tolerance</w:t>
      </w:r>
      <w:r>
        <w:rPr>
          <w:sz w:val="22"/>
        </w:rPr>
        <w:t xml:space="preserve"> (typically 5–10%), demonstrating that the predicted widths genuinely achieve the desired specifications when validated through the forward PINN model.</w:t>
      </w:r>
    </w:p>
    <w:p>
      <w:pPr>
        <w:pStyle w:val="Heading1"/>
        <w:jc w:val="left"/>
      </w:pPr>
      <w:r>
        <w:rPr>
          <w:color w:val="1F497D"/>
        </w:rPr>
        <w:t>7. Graph-by-Graph Performance Analysis</w:t>
      </w:r>
    </w:p>
    <w:p>
      <w:pPr>
        <w:pBdr>
          <w:bottom w:val="single" w:sz="6" w:space="1" w:color="AAAAAA"/>
        </w:pBdr>
        <w:spacing w:after="160" w:before="160"/>
      </w:pPr>
    </w:p>
    <w:p>
      <w:pPr>
        <w:pStyle w:val="Heading2"/>
        <w:jc w:val="left"/>
      </w:pPr>
      <w:r>
        <w:rPr>
          <w:color w:val="1F497D"/>
        </w:rPr>
        <w:t>7.1  Optimisation Convergence Curve</w:t>
      </w:r>
    </w:p>
    <w:p>
      <w:pPr>
        <w:jc w:val="center"/>
      </w:pPr>
      <w:r>
        <w:drawing>
          <wp:inline xmlns:a="http://schemas.openxmlformats.org/drawingml/2006/main" xmlns:pic="http://schemas.openxmlformats.org/drawingml/2006/picture">
            <wp:extent cx="5669280" cy="2286505"/>
            <wp:docPr id="1" name="Picture 1"/>
            <wp:cNvGraphicFramePr>
              <a:graphicFrameLocks noChangeAspect="1"/>
            </wp:cNvGraphicFramePr>
            <a:graphic>
              <a:graphicData uri="http://schemas.openxmlformats.org/drawingml/2006/picture">
                <pic:pic>
                  <pic:nvPicPr>
                    <pic:cNvPr id="0" name="plot1_convergence_curve.png"/>
                    <pic:cNvPicPr/>
                  </pic:nvPicPr>
                  <pic:blipFill>
                    <a:blip r:embed="rId9"/>
                    <a:stretch>
                      <a:fillRect/>
                    </a:stretch>
                  </pic:blipFill>
                  <pic:spPr>
                    <a:xfrm>
                      <a:off x="0" y="0"/>
                      <a:ext cx="5669280" cy="2286505"/>
                    </a:xfrm>
                    <a:prstGeom prst="rect"/>
                  </pic:spPr>
                </pic:pic>
              </a:graphicData>
            </a:graphic>
          </wp:inline>
        </w:drawing>
      </w:r>
    </w:p>
    <w:p>
      <w:pPr>
        <w:spacing w:after="240"/>
        <w:jc w:val="center"/>
      </w:pPr>
      <w:r>
        <w:rPr>
          <w:i/>
          <w:color w:val="505050"/>
          <w:sz w:val="20"/>
        </w:rPr>
        <w:t>Figure 1 — MSE Loss and Epistemic UQ Variance vs Optimisation Epoch (Sample 1)</w:t>
      </w:r>
    </w:p>
    <w:p>
      <w:pPr>
        <w:spacing w:after="120" w:before="40"/>
        <w:jc w:val="both"/>
      </w:pPr>
      <w:r>
        <w:rPr>
          <w:sz w:val="22"/>
        </w:rPr>
        <w:t xml:space="preserve">Figure 1 shows the training dynamics of the inverse optimiser for a representative test sample. The blue curve (left axis) tracks the </w:t>
      </w:r>
      <w:r>
        <w:rPr>
          <w:b/>
          <w:sz w:val="22"/>
        </w:rPr>
        <w:t>Mean Squared Error</w:t>
      </w:r>
      <w:r>
        <w:rPr>
          <w:sz w:val="22"/>
        </w:rPr>
        <w:t xml:space="preserve"> between the ensemble-predicted performance and the target specification. The orange dashed curve (right axis) tracks the </w:t>
      </w:r>
      <w:r>
        <w:rPr>
          <w:b/>
          <w:sz w:val="22"/>
        </w:rPr>
        <w:t>Epistemic UQ Variance</w:t>
      </w:r>
      <w:r>
        <w:rPr>
          <w:sz w:val="22"/>
        </w:rPr>
        <w:t xml:space="preserve"> — the disagreement among the five PINN models about the current design candidate.</w:t>
      </w:r>
    </w:p>
    <w:p>
      <w:pPr>
        <w:spacing w:after="120" w:before="40"/>
        <w:jc w:val="both"/>
      </w:pPr>
      <w:r>
        <w:rPr>
          <w:sz w:val="22"/>
        </w:rPr>
        <w:t xml:space="preserve">Key observations: Both curves </w:t>
      </w:r>
      <w:r>
        <w:rPr>
          <w:b/>
          <w:sz w:val="22"/>
        </w:rPr>
        <w:t>decrease monotonically</w:t>
      </w:r>
      <w:r>
        <w:rPr>
          <w:sz w:val="22"/>
        </w:rPr>
        <w:t xml:space="preserve"> over 1,500 epochs, confirming that the Adam optimiser is successfully navigating the inverse problem. The MSE falls steeply in the first ~300 epochs, indicating rapid spec-matching, and then plateaus as fine-grained adjustments are made. The UQ Variance also decreases — this is the direct effect of the Epistemic </w:t>
      </w:r>
      <w:r>
        <w:rPr>
          <w:b/>
          <w:sz w:val="22"/>
        </w:rPr>
        <w:t>UQ Guardrail (λ = 2.0)</w:t>
      </w:r>
      <w:r>
        <w:rPr>
          <w:sz w:val="22"/>
        </w:rPr>
        <w:t xml:space="preserve">. The optimiser is not only moving toward the target spec but simultaneously pushed away from </w:t>
      </w:r>
      <w:r>
        <w:rPr>
          <w:b/>
          <w:sz w:val="22"/>
        </w:rPr>
        <w:t>uncertain, data-sparse regions</w:t>
      </w:r>
      <w:r>
        <w:rPr>
          <w:sz w:val="22"/>
        </w:rPr>
        <w:t xml:space="preserve"> of design space. A converged UQ Variance near zero confirms the final design candidates lie within </w:t>
      </w:r>
      <w:r>
        <w:rPr>
          <w:b/>
          <w:sz w:val="22"/>
        </w:rPr>
        <w:t>well-explored, physically validated</w:t>
      </w:r>
      <w:r>
        <w:rPr>
          <w:sz w:val="22"/>
        </w:rPr>
        <w:t xml:space="preserve"> regions of the parameter space.</w:t>
      </w:r>
    </w:p>
    <w:p>
      <w:pPr>
        <w:pBdr>
          <w:bottom w:val="single" w:sz="6" w:space="1" w:color="AAAAAA"/>
        </w:pBdr>
        <w:spacing w:after="160" w:before="160"/>
      </w:pPr>
    </w:p>
    <w:p>
      <w:pPr>
        <w:pStyle w:val="Heading2"/>
        <w:jc w:val="left"/>
      </w:pPr>
      <w:r>
        <w:rPr>
          <w:color w:val="1F497D"/>
        </w:rPr>
        <w:t>7.2  Per-Metric Forward Validation Error (Box Plot)</w:t>
      </w:r>
    </w:p>
    <w:p>
      <w:pPr>
        <w:jc w:val="center"/>
      </w:pPr>
      <w:r>
        <w:drawing>
          <wp:inline xmlns:a="http://schemas.openxmlformats.org/drawingml/2006/main" xmlns:pic="http://schemas.openxmlformats.org/drawingml/2006/picture">
            <wp:extent cx="5669280" cy="2360048"/>
            <wp:docPr id="2" name="Picture 2"/>
            <wp:cNvGraphicFramePr>
              <a:graphicFrameLocks noChangeAspect="1"/>
            </wp:cNvGraphicFramePr>
            <a:graphic>
              <a:graphicData uri="http://schemas.openxmlformats.org/drawingml/2006/picture">
                <pic:pic>
                  <pic:nvPicPr>
                    <pic:cNvPr id="0" name="plot2_per_metric_error.png"/>
                    <pic:cNvPicPr/>
                  </pic:nvPicPr>
                  <pic:blipFill>
                    <a:blip r:embed="rId10"/>
                    <a:stretch>
                      <a:fillRect/>
                    </a:stretch>
                  </pic:blipFill>
                  <pic:spPr>
                    <a:xfrm>
                      <a:off x="0" y="0"/>
                      <a:ext cx="5669280" cy="2360048"/>
                    </a:xfrm>
                    <a:prstGeom prst="rect"/>
                  </pic:spPr>
                </pic:pic>
              </a:graphicData>
            </a:graphic>
          </wp:inline>
        </w:drawing>
      </w:r>
    </w:p>
    <w:p>
      <w:pPr>
        <w:spacing w:after="240"/>
        <w:jc w:val="center"/>
      </w:pPr>
      <w:r>
        <w:rPr>
          <w:i/>
          <w:color w:val="505050"/>
          <w:sz w:val="20"/>
        </w:rPr>
        <w:t>Figure 2 — Distribution of absolute % error per performance metric across all test samples</w:t>
      </w:r>
    </w:p>
    <w:p>
      <w:pPr>
        <w:spacing w:after="120" w:before="40"/>
        <w:jc w:val="both"/>
      </w:pPr>
      <w:r>
        <w:rPr>
          <w:sz w:val="22"/>
        </w:rPr>
        <w:t xml:space="preserve">Figure 2 is a box-and-whisker plot showing how accurately the best predicted design hits each of the nine target specifications across the entire test set. The green dashed line marks the </w:t>
      </w:r>
      <w:r>
        <w:rPr>
          <w:b/>
          <w:sz w:val="22"/>
        </w:rPr>
        <w:t>5% engineering tolerance</w:t>
      </w:r>
      <w:r>
        <w:rPr>
          <w:sz w:val="22"/>
        </w:rPr>
        <w:t xml:space="preserve"> threshold; the orange dotted line marks 10%. Boxes show the </w:t>
      </w:r>
      <w:r>
        <w:rPr>
          <w:b/>
          <w:sz w:val="22"/>
        </w:rPr>
        <w:t>interquartile range</w:t>
      </w:r>
      <w:r>
        <w:rPr>
          <w:sz w:val="22"/>
        </w:rPr>
        <w:t xml:space="preserve"> (25th–75th percentile), the orange horizontal line inside each box is the median, and dots are outliers.</w:t>
      </w:r>
    </w:p>
    <w:p>
      <w:pPr>
        <w:spacing w:after="120" w:before="40"/>
        <w:jc w:val="both"/>
      </w:pPr>
      <w:r>
        <w:rPr>
          <w:sz w:val="22"/>
        </w:rPr>
        <w:t xml:space="preserve">Performance breakdown: </w:t>
      </w:r>
      <w:r>
        <w:rPr>
          <w:b/>
          <w:sz w:val="22"/>
        </w:rPr>
        <w:t>CMRR, PSRR, Phase Margin, Gain, and Gain Margin</w:t>
      </w:r>
      <w:r>
        <w:rPr>
          <w:sz w:val="22"/>
        </w:rPr>
        <w:t xml:space="preserve"> all show median errors below 2%, placing them in the '</w:t>
      </w:r>
      <w:r>
        <w:rPr>
          <w:b/>
          <w:sz w:val="22"/>
        </w:rPr>
        <w:t>Excellent</w:t>
      </w:r>
      <w:r>
        <w:rPr>
          <w:sz w:val="22"/>
        </w:rPr>
        <w:t xml:space="preserve">' category. Slew Rate and Power also perform well (&lt; 2%). </w:t>
      </w:r>
      <w:r>
        <w:rPr>
          <w:b/>
          <w:sz w:val="22"/>
        </w:rPr>
        <w:t>GBW and Bandwidth</w:t>
      </w:r>
      <w:r>
        <w:rPr>
          <w:sz w:val="22"/>
        </w:rPr>
        <w:t xml:space="preserve"> show slightly higher errors (mean 6.8% and 8.8% respectively) because these metrics depend on a complex non-linear interaction between multiple widths and the compensation capacitor. The green shading indicates most boxes stay below the </w:t>
      </w:r>
      <w:r>
        <w:rPr>
          <w:b/>
          <w:sz w:val="22"/>
        </w:rPr>
        <w:t>5% line</w:t>
      </w:r>
      <w:r>
        <w:rPr>
          <w:sz w:val="22"/>
        </w:rPr>
        <w:t>, confirming that the inverse predictor reliably meets engineering tolerances for the majority of specs.</w:t>
      </w:r>
    </w:p>
    <w:p>
      <w:pPr>
        <w:spacing w:after="120" w:before="40"/>
        <w:jc w:val="both"/>
      </w:pPr>
      <w:r>
        <w:rPr>
          <w:sz w:val="22"/>
        </w:rPr>
        <w:t>Detailed per-metric mean forward validation errors:</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F497D"/>
            <w:vAlign w:val="center"/>
          </w:tcPr>
          <w:p>
            <w:r>
              <w:rPr>
                <w:b/>
                <w:color w:val="FFFFFF"/>
                <w:sz w:val="21"/>
              </w:rPr>
              <w:t>Metric</w:t>
            </w:r>
          </w:p>
        </w:tc>
        <w:tc>
          <w:tcPr>
            <w:tcW w:type="dxa" w:w="3022"/>
            <w:shd w:val="clear" w:color="auto" w:fill="1F497D"/>
            <w:vAlign w:val="center"/>
          </w:tcPr>
          <w:p>
            <w:r>
              <w:rPr>
                <w:b/>
                <w:color w:val="FFFFFF"/>
                <w:sz w:val="21"/>
              </w:rPr>
              <w:t>Mean Error (%)</w:t>
            </w:r>
          </w:p>
        </w:tc>
        <w:tc>
          <w:tcPr>
            <w:tcW w:type="dxa" w:w="3022"/>
            <w:shd w:val="clear" w:color="auto" w:fill="1F497D"/>
            <w:vAlign w:val="center"/>
          </w:tcPr>
          <w:p>
            <w:r>
              <w:rPr>
                <w:b/>
                <w:color w:val="FFFFFF"/>
                <w:sz w:val="21"/>
              </w:rPr>
              <w:t>Assessment</w:t>
            </w:r>
          </w:p>
        </w:tc>
      </w:tr>
      <w:tr>
        <w:tc>
          <w:tcPr>
            <w:tcW w:type="dxa" w:w="3022"/>
            <w:shd w:val="clear" w:color="auto" w:fill="E8F4FA"/>
          </w:tcPr>
          <w:p>
            <w:r>
              <w:rPr>
                <w:sz w:val="21"/>
              </w:rPr>
              <w:t>Gain (dB)</w:t>
            </w:r>
          </w:p>
        </w:tc>
        <w:tc>
          <w:tcPr>
            <w:tcW w:type="dxa" w:w="3022"/>
            <w:shd w:val="clear" w:color="auto" w:fill="E8F4FA"/>
          </w:tcPr>
          <w:p>
            <w:r>
              <w:rPr>
                <w:sz w:val="21"/>
              </w:rPr>
              <w:t>0.54%</w:t>
            </w:r>
          </w:p>
        </w:tc>
        <w:tc>
          <w:tcPr>
            <w:tcW w:type="dxa" w:w="3022"/>
            <w:shd w:val="clear" w:color="auto" w:fill="E8F4FA"/>
          </w:tcPr>
          <w:p>
            <w:r>
              <w:rPr>
                <w:sz w:val="21"/>
              </w:rPr>
              <w:t>✅ Excellent (&lt; 2%)</w:t>
            </w:r>
          </w:p>
        </w:tc>
      </w:tr>
      <w:tr>
        <w:tc>
          <w:tcPr>
            <w:tcW w:type="dxa" w:w="3022"/>
            <w:shd w:val="clear" w:color="auto" w:fill="FFFFFF"/>
          </w:tcPr>
          <w:p>
            <w:r>
              <w:rPr>
                <w:sz w:val="21"/>
              </w:rPr>
              <w:t>Bandwidth (Hz)</w:t>
            </w:r>
          </w:p>
        </w:tc>
        <w:tc>
          <w:tcPr>
            <w:tcW w:type="dxa" w:w="3022"/>
            <w:shd w:val="clear" w:color="auto" w:fill="FFFFFF"/>
          </w:tcPr>
          <w:p>
            <w:r>
              <w:rPr>
                <w:sz w:val="21"/>
              </w:rPr>
              <w:t>8.76%</w:t>
            </w:r>
          </w:p>
        </w:tc>
        <w:tc>
          <w:tcPr>
            <w:tcW w:type="dxa" w:w="3022"/>
            <w:shd w:val="clear" w:color="auto" w:fill="FFFFFF"/>
          </w:tcPr>
          <w:p>
            <w:r>
              <w:rPr>
                <w:sz w:val="21"/>
              </w:rPr>
              <w:t>⚠  Acceptable (5–10%)</w:t>
            </w:r>
          </w:p>
        </w:tc>
      </w:tr>
      <w:tr>
        <w:tc>
          <w:tcPr>
            <w:tcW w:type="dxa" w:w="3022"/>
            <w:shd w:val="clear" w:color="auto" w:fill="E8F4FA"/>
          </w:tcPr>
          <w:p>
            <w:r>
              <w:rPr>
                <w:sz w:val="21"/>
              </w:rPr>
              <w:t>GBW (MHz)</w:t>
            </w:r>
          </w:p>
        </w:tc>
        <w:tc>
          <w:tcPr>
            <w:tcW w:type="dxa" w:w="3022"/>
            <w:shd w:val="clear" w:color="auto" w:fill="E8F4FA"/>
          </w:tcPr>
          <w:p>
            <w:r>
              <w:rPr>
                <w:sz w:val="21"/>
              </w:rPr>
              <w:t>6.78%</w:t>
            </w:r>
          </w:p>
        </w:tc>
        <w:tc>
          <w:tcPr>
            <w:tcW w:type="dxa" w:w="3022"/>
            <w:shd w:val="clear" w:color="auto" w:fill="E8F4FA"/>
          </w:tcPr>
          <w:p>
            <w:r>
              <w:rPr>
                <w:sz w:val="21"/>
              </w:rPr>
              <w:t>⚠  Acceptable (5–10%)</w:t>
            </w:r>
          </w:p>
        </w:tc>
      </w:tr>
      <w:tr>
        <w:tc>
          <w:tcPr>
            <w:tcW w:type="dxa" w:w="3022"/>
            <w:shd w:val="clear" w:color="auto" w:fill="FFFFFF"/>
          </w:tcPr>
          <w:p>
            <w:r>
              <w:rPr>
                <w:sz w:val="21"/>
              </w:rPr>
              <w:t>Power (µW)</w:t>
            </w:r>
          </w:p>
        </w:tc>
        <w:tc>
          <w:tcPr>
            <w:tcW w:type="dxa" w:w="3022"/>
            <w:shd w:val="clear" w:color="auto" w:fill="FFFFFF"/>
          </w:tcPr>
          <w:p>
            <w:r>
              <w:rPr>
                <w:sz w:val="21"/>
              </w:rPr>
              <w:t>0.87%</w:t>
            </w:r>
          </w:p>
        </w:tc>
        <w:tc>
          <w:tcPr>
            <w:tcW w:type="dxa" w:w="3022"/>
            <w:shd w:val="clear" w:color="auto" w:fill="FFFFFF"/>
          </w:tcPr>
          <w:p>
            <w:r>
              <w:rPr>
                <w:sz w:val="21"/>
              </w:rPr>
              <w:t>✅ Excellent (&lt; 2%)</w:t>
            </w:r>
          </w:p>
        </w:tc>
      </w:tr>
      <w:tr>
        <w:tc>
          <w:tcPr>
            <w:tcW w:type="dxa" w:w="3022"/>
            <w:shd w:val="clear" w:color="auto" w:fill="E8F4FA"/>
          </w:tcPr>
          <w:p>
            <w:r>
              <w:rPr>
                <w:sz w:val="21"/>
              </w:rPr>
              <w:t>Phase Margin (°)</w:t>
            </w:r>
          </w:p>
        </w:tc>
        <w:tc>
          <w:tcPr>
            <w:tcW w:type="dxa" w:w="3022"/>
            <w:shd w:val="clear" w:color="auto" w:fill="E8F4FA"/>
          </w:tcPr>
          <w:p>
            <w:r>
              <w:rPr>
                <w:sz w:val="21"/>
              </w:rPr>
              <w:t>0.54%</w:t>
            </w:r>
          </w:p>
        </w:tc>
        <w:tc>
          <w:tcPr>
            <w:tcW w:type="dxa" w:w="3022"/>
            <w:shd w:val="clear" w:color="auto" w:fill="E8F4FA"/>
          </w:tcPr>
          <w:p>
            <w:r>
              <w:rPr>
                <w:sz w:val="21"/>
              </w:rPr>
              <w:t>✅ Excellent (&lt; 2%)</w:t>
            </w:r>
          </w:p>
        </w:tc>
      </w:tr>
      <w:tr>
        <w:tc>
          <w:tcPr>
            <w:tcW w:type="dxa" w:w="3022"/>
            <w:shd w:val="clear" w:color="auto" w:fill="FFFFFF"/>
          </w:tcPr>
          <w:p>
            <w:r>
              <w:rPr>
                <w:sz w:val="21"/>
              </w:rPr>
              <w:t>Gain Margin (dB)</w:t>
            </w:r>
          </w:p>
        </w:tc>
        <w:tc>
          <w:tcPr>
            <w:tcW w:type="dxa" w:w="3022"/>
            <w:shd w:val="clear" w:color="auto" w:fill="FFFFFF"/>
          </w:tcPr>
          <w:p>
            <w:r>
              <w:rPr>
                <w:sz w:val="21"/>
              </w:rPr>
              <w:t>0.67%</w:t>
            </w:r>
          </w:p>
        </w:tc>
        <w:tc>
          <w:tcPr>
            <w:tcW w:type="dxa" w:w="3022"/>
            <w:shd w:val="clear" w:color="auto" w:fill="FFFFFF"/>
          </w:tcPr>
          <w:p>
            <w:r>
              <w:rPr>
                <w:sz w:val="21"/>
              </w:rPr>
              <w:t>✅ Excellent (&lt; 2%)</w:t>
            </w:r>
          </w:p>
        </w:tc>
      </w:tr>
      <w:tr>
        <w:tc>
          <w:tcPr>
            <w:tcW w:type="dxa" w:w="3022"/>
            <w:shd w:val="clear" w:color="auto" w:fill="E8F4FA"/>
          </w:tcPr>
          <w:p>
            <w:r>
              <w:rPr>
                <w:sz w:val="21"/>
              </w:rPr>
              <w:t>PSRR (dB)</w:t>
            </w:r>
          </w:p>
        </w:tc>
        <w:tc>
          <w:tcPr>
            <w:tcW w:type="dxa" w:w="3022"/>
            <w:shd w:val="clear" w:color="auto" w:fill="E8F4FA"/>
          </w:tcPr>
          <w:p>
            <w:r>
              <w:rPr>
                <w:sz w:val="21"/>
              </w:rPr>
              <w:t>0.35%</w:t>
            </w:r>
          </w:p>
        </w:tc>
        <w:tc>
          <w:tcPr>
            <w:tcW w:type="dxa" w:w="3022"/>
            <w:shd w:val="clear" w:color="auto" w:fill="E8F4FA"/>
          </w:tcPr>
          <w:p>
            <w:r>
              <w:rPr>
                <w:sz w:val="21"/>
              </w:rPr>
              <w:t>✅ Excellent (&lt; 2%)</w:t>
            </w:r>
          </w:p>
        </w:tc>
      </w:tr>
      <w:tr>
        <w:tc>
          <w:tcPr>
            <w:tcW w:type="dxa" w:w="3022"/>
            <w:shd w:val="clear" w:color="auto" w:fill="FFFFFF"/>
          </w:tcPr>
          <w:p>
            <w:r>
              <w:rPr>
                <w:sz w:val="21"/>
              </w:rPr>
              <w:t>Slew Rate (V/µs)</w:t>
            </w:r>
          </w:p>
        </w:tc>
        <w:tc>
          <w:tcPr>
            <w:tcW w:type="dxa" w:w="3022"/>
            <w:shd w:val="clear" w:color="auto" w:fill="FFFFFF"/>
          </w:tcPr>
          <w:p>
            <w:r>
              <w:rPr>
                <w:sz w:val="21"/>
              </w:rPr>
              <w:t>0.64%</w:t>
            </w:r>
          </w:p>
        </w:tc>
        <w:tc>
          <w:tcPr>
            <w:tcW w:type="dxa" w:w="3022"/>
            <w:shd w:val="clear" w:color="auto" w:fill="FFFFFF"/>
          </w:tcPr>
          <w:p>
            <w:r>
              <w:rPr>
                <w:sz w:val="21"/>
              </w:rPr>
              <w:t>✅ Excellent (&lt; 2%)</w:t>
            </w:r>
          </w:p>
        </w:tc>
      </w:tr>
      <w:tr>
        <w:tc>
          <w:tcPr>
            <w:tcW w:type="dxa" w:w="3022"/>
            <w:shd w:val="clear" w:color="auto" w:fill="E8F4FA"/>
          </w:tcPr>
          <w:p>
            <w:r>
              <w:rPr>
                <w:sz w:val="21"/>
              </w:rPr>
              <w:t>CMRR (dB)</w:t>
            </w:r>
          </w:p>
        </w:tc>
        <w:tc>
          <w:tcPr>
            <w:tcW w:type="dxa" w:w="3022"/>
            <w:shd w:val="clear" w:color="auto" w:fill="E8F4FA"/>
          </w:tcPr>
          <w:p>
            <w:r>
              <w:rPr>
                <w:sz w:val="21"/>
              </w:rPr>
              <w:t>0.07%</w:t>
            </w:r>
          </w:p>
        </w:tc>
        <w:tc>
          <w:tcPr>
            <w:tcW w:type="dxa" w:w="3022"/>
            <w:shd w:val="clear" w:color="auto" w:fill="E8F4FA"/>
          </w:tcPr>
          <w:p>
            <w:r>
              <w:rPr>
                <w:sz w:val="21"/>
              </w:rPr>
              <w:t>✅ Excellent (&lt; 2%)</w:t>
            </w:r>
          </w:p>
        </w:tc>
      </w:tr>
    </w:tbl>
    <w:p/>
    <w:p>
      <w:pPr>
        <w:pBdr>
          <w:bottom w:val="single" w:sz="6" w:space="1" w:color="AAAAAA"/>
        </w:pBdr>
        <w:spacing w:after="160" w:before="160"/>
      </w:pPr>
    </w:p>
    <w:p>
      <w:pPr>
        <w:pStyle w:val="Heading2"/>
        <w:jc w:val="left"/>
      </w:pPr>
      <w:r>
        <w:rPr>
          <w:color w:val="1F497D"/>
        </w:rPr>
        <w:t>7.3  Yield Rate &amp; Valid Solutions Distribution</w:t>
      </w:r>
    </w:p>
    <w:p>
      <w:pPr>
        <w:jc w:val="center"/>
      </w:pPr>
      <w:r>
        <w:drawing>
          <wp:inline xmlns:a="http://schemas.openxmlformats.org/drawingml/2006/main" xmlns:pic="http://schemas.openxmlformats.org/drawingml/2006/picture">
            <wp:extent cx="5669280" cy="2504880"/>
            <wp:docPr id="3" name="Picture 3"/>
            <wp:cNvGraphicFramePr>
              <a:graphicFrameLocks noChangeAspect="1"/>
            </wp:cNvGraphicFramePr>
            <a:graphic>
              <a:graphicData uri="http://schemas.openxmlformats.org/drawingml/2006/picture">
                <pic:pic>
                  <pic:nvPicPr>
                    <pic:cNvPr id="0" name="plot3_yield_rate.png"/>
                    <pic:cNvPicPr/>
                  </pic:nvPicPr>
                  <pic:blipFill>
                    <a:blip r:embed="rId11"/>
                    <a:stretch>
                      <a:fillRect/>
                    </a:stretch>
                  </pic:blipFill>
                  <pic:spPr>
                    <a:xfrm>
                      <a:off x="0" y="0"/>
                      <a:ext cx="5669280" cy="2504880"/>
                    </a:xfrm>
                    <a:prstGeom prst="rect"/>
                  </pic:spPr>
                </pic:pic>
              </a:graphicData>
            </a:graphic>
          </wp:inline>
        </w:drawing>
      </w:r>
    </w:p>
    <w:p>
      <w:pPr>
        <w:spacing w:after="240"/>
        <w:jc w:val="center"/>
      </w:pPr>
      <w:r>
        <w:rPr>
          <w:i/>
          <w:color w:val="505050"/>
          <w:sz w:val="20"/>
        </w:rPr>
        <w:t>Figure 3 — (Left) Histogram of valid solutions per test sample. (Right) Overall yield rate pie chart.</w:t>
      </w:r>
    </w:p>
    <w:p>
      <w:pPr>
        <w:spacing w:after="120" w:before="40"/>
        <w:jc w:val="both"/>
      </w:pPr>
      <w:r>
        <w:rPr>
          <w:sz w:val="22"/>
        </w:rPr>
        <w:t xml:space="preserve">Figure 3 provides two complementary views of the multi-start optimiser's coverage.  The left histogram shows how many of the </w:t>
      </w:r>
      <w:r>
        <w:rPr>
          <w:b/>
          <w:sz w:val="22"/>
        </w:rPr>
        <w:t>1,000 starts</w:t>
      </w:r>
      <w:r>
        <w:rPr>
          <w:sz w:val="22"/>
        </w:rPr>
        <w:t xml:space="preserve"> converged to a valid solution (</w:t>
      </w:r>
      <w:r>
        <w:rPr>
          <w:b/>
          <w:sz w:val="22"/>
        </w:rPr>
        <w:t>MSE &lt; 0.05</w:t>
      </w:r>
      <w:r>
        <w:rPr>
          <w:sz w:val="22"/>
        </w:rPr>
        <w:t xml:space="preserve">) for each test sample. The </w:t>
      </w:r>
      <w:r>
        <w:rPr>
          <w:b/>
          <w:sz w:val="22"/>
        </w:rPr>
        <w:t>mean is 954 valid starts</w:t>
      </w:r>
      <w:r>
        <w:rPr>
          <w:sz w:val="22"/>
        </w:rPr>
        <w:t xml:space="preserve"> per sample, with the distribution concentrated in the high end (&gt; 900), indicating that the vast majority of parallel starts find good solutions and the design space is well-populated near the target.</w:t>
      </w:r>
    </w:p>
    <w:p>
      <w:pPr>
        <w:spacing w:after="120" w:before="40"/>
        <w:jc w:val="both"/>
      </w:pPr>
      <w:r>
        <w:rPr>
          <w:sz w:val="22"/>
        </w:rPr>
        <w:t xml:space="preserve">The right pie chart shows the overall yield rate: </w:t>
      </w:r>
      <w:r>
        <w:rPr>
          <w:b/>
          <w:sz w:val="22"/>
        </w:rPr>
        <w:t>100.0% of all 30 test samples</w:t>
      </w:r>
      <w:r>
        <w:rPr>
          <w:sz w:val="22"/>
        </w:rPr>
        <w:t xml:space="preserve"> produced at least one valid design candidate. A </w:t>
      </w:r>
      <w:r>
        <w:rPr>
          <w:b/>
          <w:sz w:val="22"/>
        </w:rPr>
        <w:t>100% yield rate</w:t>
      </w:r>
      <w:r>
        <w:rPr>
          <w:sz w:val="22"/>
        </w:rPr>
        <w:t xml:space="preserve"> across diverse temperature conditions (−40 °C to 125 °C) demonstrates that the inverse predictor is robust and not limited to a narrow operating range. This is a direct consequence of the PINN's </w:t>
      </w:r>
      <w:r>
        <w:rPr>
          <w:b/>
          <w:sz w:val="22"/>
        </w:rPr>
        <w:t>physics-informed training</w:t>
      </w:r>
      <w:r>
        <w:rPr>
          <w:sz w:val="22"/>
        </w:rPr>
        <w:t xml:space="preserve"> — the model generalises correctly to all temperature corners because the circuit physics laws hold universally.</w:t>
      </w:r>
    </w:p>
    <w:p>
      <w:pPr>
        <w:pBdr>
          <w:bottom w:val="single" w:sz="6" w:space="1" w:color="AAAAAA"/>
        </w:pBdr>
        <w:spacing w:after="160" w:before="160"/>
      </w:pPr>
    </w:p>
    <w:p>
      <w:pPr>
        <w:pStyle w:val="Heading2"/>
        <w:jc w:val="left"/>
      </w:pPr>
      <w:r>
        <w:rPr>
          <w:color w:val="1F497D"/>
        </w:rPr>
        <w:t>7.4  Target vs. Predicted Performance Scatter (3×3 Grid)</w:t>
      </w:r>
    </w:p>
    <w:p>
      <w:pPr>
        <w:jc w:val="center"/>
      </w:pPr>
      <w:r>
        <w:drawing>
          <wp:inline xmlns:a="http://schemas.openxmlformats.org/drawingml/2006/main" xmlns:pic="http://schemas.openxmlformats.org/drawingml/2006/picture">
            <wp:extent cx="5486400" cy="4815781"/>
            <wp:docPr id="4" name="Picture 4"/>
            <wp:cNvGraphicFramePr>
              <a:graphicFrameLocks noChangeAspect="1"/>
            </wp:cNvGraphicFramePr>
            <a:graphic>
              <a:graphicData uri="http://schemas.openxmlformats.org/drawingml/2006/picture">
                <pic:pic>
                  <pic:nvPicPr>
                    <pic:cNvPr id="0" name="plot4_target_vs_predicted.png"/>
                    <pic:cNvPicPr/>
                  </pic:nvPicPr>
                  <pic:blipFill>
                    <a:blip r:embed="rId12"/>
                    <a:stretch>
                      <a:fillRect/>
                    </a:stretch>
                  </pic:blipFill>
                  <pic:spPr>
                    <a:xfrm>
                      <a:off x="0" y="0"/>
                      <a:ext cx="5486400" cy="4815781"/>
                    </a:xfrm>
                    <a:prstGeom prst="rect"/>
                  </pic:spPr>
                </pic:pic>
              </a:graphicData>
            </a:graphic>
          </wp:inline>
        </w:drawing>
      </w:r>
    </w:p>
    <w:p>
      <w:pPr>
        <w:spacing w:after="240"/>
        <w:jc w:val="center"/>
      </w:pPr>
      <w:r>
        <w:rPr>
          <w:i/>
          <w:color w:val="505050"/>
          <w:sz w:val="20"/>
        </w:rPr>
        <w:t>Figure 4 — Scatter plots of target vs. forward-validated predicted performance for all 9 metrics. Error bars show ±2σ epistemic uncertainty. The green dashed diagonal is the perfect-prediction line.</w:t>
      </w:r>
    </w:p>
    <w:p>
      <w:pPr>
        <w:spacing w:after="120" w:before="40"/>
        <w:jc w:val="both"/>
      </w:pPr>
      <w:r>
        <w:rPr>
          <w:sz w:val="22"/>
        </w:rPr>
        <w:t xml:space="preserve">Figure 4 is the </w:t>
      </w:r>
      <w:r>
        <w:rPr>
          <w:b/>
          <w:sz w:val="22"/>
        </w:rPr>
        <w:t>most direct visualisation</w:t>
      </w:r>
      <w:r>
        <w:rPr>
          <w:sz w:val="22"/>
        </w:rPr>
        <w:t xml:space="preserve"> of inverse prediction accuracy. For each of the nine performance metrics, the horizontal axis shows the ground-truth target value (from the dataset), and the vertical axis shows the </w:t>
      </w:r>
      <w:r>
        <w:rPr>
          <w:b/>
          <w:sz w:val="22"/>
        </w:rPr>
        <w:t>forward-validated predicted value</w:t>
      </w:r>
      <w:r>
        <w:rPr>
          <w:sz w:val="22"/>
        </w:rPr>
        <w:t xml:space="preserve"> obtained by feeding the inverse-predicted widths back through the ensemble. A perfect inverse predictor would place all points exactly on the </w:t>
      </w:r>
      <w:r>
        <w:rPr>
          <w:b/>
          <w:sz w:val="22"/>
        </w:rPr>
        <w:t>green diagonal</w:t>
      </w:r>
      <w:r>
        <w:rPr>
          <w:sz w:val="22"/>
        </w:rPr>
        <w:t xml:space="preserve">. Error bars represent </w:t>
      </w:r>
      <w:r>
        <w:rPr>
          <w:b/>
          <w:sz w:val="22"/>
        </w:rPr>
        <w:t>±2σ epistemic uncertainty</w:t>
      </w:r>
      <w:r>
        <w:rPr>
          <w:sz w:val="22"/>
        </w:rPr>
        <w:t xml:space="preserve"> from the 5-model ensemble.</w:t>
      </w:r>
    </w:p>
    <w:p>
      <w:pPr>
        <w:spacing w:after="120" w:before="40"/>
        <w:jc w:val="both"/>
      </w:pPr>
      <w:r>
        <w:rPr>
          <w:sz w:val="22"/>
        </w:rPr>
        <w:t xml:space="preserve">Observations: Gain, Phase Margin, Power, PSRR, GM, and CMRR all cluster tightly around the diagonal with </w:t>
      </w:r>
      <w:r>
        <w:rPr>
          <w:b/>
          <w:sz w:val="22"/>
        </w:rPr>
        <w:t>R² values close to 1.0</w:t>
      </w:r>
      <w:r>
        <w:rPr>
          <w:sz w:val="22"/>
        </w:rPr>
        <w:t xml:space="preserve">, confirming exceptional spec-matching. </w:t>
      </w:r>
      <w:r>
        <w:rPr>
          <w:b/>
          <w:sz w:val="22"/>
        </w:rPr>
        <w:t>GBW and Bandwidth</w:t>
      </w:r>
      <w:r>
        <w:rPr>
          <w:sz w:val="22"/>
        </w:rPr>
        <w:t xml:space="preserve"> show slightly more scatter but the trend is clearly along the diagonal, indicating the predictor captures the direction of these metrics correctly even if the absolute values differ slightly. The ±2σ error bars are </w:t>
      </w:r>
      <w:r>
        <w:rPr>
          <w:b/>
          <w:sz w:val="22"/>
        </w:rPr>
        <w:t>narrow across all metrics</w:t>
      </w:r>
      <w:r>
        <w:rPr>
          <w:sz w:val="22"/>
        </w:rPr>
        <w:t xml:space="preserve">, showing the ensemble is highly confident in its forward predictions for the widths returned by the inverse optimiser — the solutions lie in </w:t>
      </w:r>
      <w:r>
        <w:rPr>
          <w:b/>
          <w:sz w:val="22"/>
        </w:rPr>
        <w:t>well-modelled design regions</w:t>
      </w:r>
      <w:r>
        <w:rPr>
          <w:sz w:val="22"/>
        </w:rPr>
        <w:t>.</w:t>
      </w:r>
    </w:p>
    <w:p>
      <w:pPr>
        <w:pBdr>
          <w:bottom w:val="single" w:sz="6" w:space="1" w:color="AAAAAA"/>
        </w:pBdr>
        <w:spacing w:after="160" w:before="160"/>
      </w:pPr>
    </w:p>
    <w:p>
      <w:pPr>
        <w:pStyle w:val="Heading2"/>
        <w:jc w:val="left"/>
      </w:pPr>
      <w:r>
        <w:rPr>
          <w:color w:val="1F497D"/>
        </w:rPr>
        <w:t>7.5  UQ Calibration — Epistemic σ vs. Prediction Error</w:t>
      </w:r>
    </w:p>
    <w:p>
      <w:pPr>
        <w:jc w:val="center"/>
      </w:pPr>
      <w:r>
        <w:drawing>
          <wp:inline xmlns:a="http://schemas.openxmlformats.org/drawingml/2006/main" xmlns:pic="http://schemas.openxmlformats.org/drawingml/2006/picture">
            <wp:extent cx="5669280" cy="4433990"/>
            <wp:docPr id="5" name="Picture 5"/>
            <wp:cNvGraphicFramePr>
              <a:graphicFrameLocks noChangeAspect="1"/>
            </wp:cNvGraphicFramePr>
            <a:graphic>
              <a:graphicData uri="http://schemas.openxmlformats.org/drawingml/2006/picture">
                <pic:pic>
                  <pic:nvPicPr>
                    <pic:cNvPr id="0" name="plot5_uq_calibration.png"/>
                    <pic:cNvPicPr/>
                  </pic:nvPicPr>
                  <pic:blipFill>
                    <a:blip r:embed="rId13"/>
                    <a:stretch>
                      <a:fillRect/>
                    </a:stretch>
                  </pic:blipFill>
                  <pic:spPr>
                    <a:xfrm>
                      <a:off x="0" y="0"/>
                      <a:ext cx="5669280" cy="4433990"/>
                    </a:xfrm>
                    <a:prstGeom prst="rect"/>
                  </pic:spPr>
                </pic:pic>
              </a:graphicData>
            </a:graphic>
          </wp:inline>
        </w:drawing>
      </w:r>
    </w:p>
    <w:p>
      <w:pPr>
        <w:spacing w:after="240"/>
        <w:jc w:val="center"/>
      </w:pPr>
      <w:r>
        <w:rPr>
          <w:i/>
          <w:color w:val="505050"/>
          <w:sz w:val="20"/>
        </w:rPr>
        <w:t>Figure 5 — Scatter of mean epistemic uncertainty (σ) vs. mean prediction error (%) across test samples. The dashed line shows the Spearman rank-correlation trend.</w:t>
      </w:r>
    </w:p>
    <w:p>
      <w:pPr>
        <w:spacing w:after="120" w:before="40"/>
        <w:jc w:val="both"/>
      </w:pPr>
      <w:r>
        <w:rPr>
          <w:sz w:val="22"/>
        </w:rPr>
        <w:t xml:space="preserve">Figure 5 is the UQ calibration plot — it answers the critical question: </w:t>
      </w:r>
      <w:r>
        <w:rPr>
          <w:b/>
          <w:sz w:val="22"/>
        </w:rPr>
        <w:t>'Does the ensemble know when it doesn't know?'</w:t>
      </w:r>
      <w:r>
        <w:rPr>
          <w:sz w:val="22"/>
        </w:rPr>
        <w:t xml:space="preserve"> Each point represents one test sample. The x-axis is the mean epistemic standard deviation of the ensemble for that sample's best design, and the y-axis is the mean % prediction error. A </w:t>
      </w:r>
      <w:r>
        <w:rPr>
          <w:b/>
          <w:sz w:val="22"/>
        </w:rPr>
        <w:t>well-calibrated uncertainty estimator</w:t>
      </w:r>
      <w:r>
        <w:rPr>
          <w:sz w:val="22"/>
        </w:rPr>
        <w:t xml:space="preserve"> should show a </w:t>
      </w:r>
      <w:r>
        <w:rPr>
          <w:b/>
          <w:sz w:val="22"/>
        </w:rPr>
        <w:t>positive correlation</w:t>
      </w:r>
      <w:r>
        <w:rPr>
          <w:sz w:val="22"/>
        </w:rPr>
        <w:t>: samples where the model is more uncertain should also have higher prediction errors.</w:t>
      </w:r>
    </w:p>
    <w:p>
      <w:pPr>
        <w:spacing w:after="120" w:before="40"/>
        <w:jc w:val="both"/>
      </w:pPr>
      <w:r>
        <w:rPr>
          <w:sz w:val="22"/>
        </w:rPr>
        <w:t xml:space="preserve">The positive </w:t>
      </w:r>
      <w:r>
        <w:rPr>
          <w:b/>
          <w:sz w:val="22"/>
        </w:rPr>
        <w:t>Spearman rank-correlation (ρ &gt; 0)</w:t>
      </w:r>
      <w:r>
        <w:rPr>
          <w:sz w:val="22"/>
        </w:rPr>
        <w:t xml:space="preserve"> observed here confirms that the ensemble's uncertainty signal is meaningful and </w:t>
      </w:r>
      <w:r>
        <w:rPr>
          <w:b/>
          <w:sz w:val="22"/>
        </w:rPr>
        <w:t>honest</w:t>
      </w:r>
      <w:r>
        <w:rPr>
          <w:sz w:val="22"/>
        </w:rPr>
        <w:t xml:space="preserve">. Design candidates assigned higher σ by the ensemble do indeed have higher forward validation errors. This is crucial for real-world deployment: a circuit designer can use the σ value as a reliable </w:t>
      </w:r>
      <w:r>
        <w:rPr>
          <w:b/>
          <w:sz w:val="22"/>
        </w:rPr>
        <w:t>quality gate</w:t>
      </w:r>
      <w:r>
        <w:rPr>
          <w:sz w:val="22"/>
        </w:rPr>
        <w:t xml:space="preserve">, trusting solutions with low σ more than those with high σ. The </w:t>
      </w:r>
      <w:r>
        <w:rPr>
          <w:b/>
          <w:sz w:val="22"/>
        </w:rPr>
        <w:t>UQ Guardrail</w:t>
      </w:r>
      <w:r>
        <w:rPr>
          <w:sz w:val="22"/>
        </w:rPr>
        <w:t xml:space="preserve"> in the inverse optimisation </w:t>
      </w:r>
      <w:r>
        <w:rPr>
          <w:b/>
          <w:sz w:val="22"/>
        </w:rPr>
        <w:t>preferentially selects low-σ solutions</w:t>
      </w:r>
      <w:r>
        <w:rPr>
          <w:sz w:val="22"/>
        </w:rPr>
        <w:t xml:space="preserve"> precisely because they are more accurate.</w:t>
      </w:r>
    </w:p>
    <w:p>
      <w:pPr>
        <w:pBdr>
          <w:bottom w:val="single" w:sz="6" w:space="1" w:color="AAAAAA"/>
        </w:pBdr>
        <w:spacing w:after="160" w:before="160"/>
      </w:pPr>
    </w:p>
    <w:p>
      <w:pPr>
        <w:pStyle w:val="Heading2"/>
        <w:jc w:val="left"/>
      </w:pPr>
      <w:r>
        <w:rPr>
          <w:color w:val="1F497D"/>
        </w:rPr>
        <w:t>7.6  Width-Space Design Diversity (K-Means Regions)</w:t>
      </w:r>
    </w:p>
    <w:p>
      <w:pPr>
        <w:jc w:val="center"/>
      </w:pPr>
      <w:r>
        <w:drawing>
          <wp:inline xmlns:a="http://schemas.openxmlformats.org/drawingml/2006/main" xmlns:pic="http://schemas.openxmlformats.org/drawingml/2006/picture">
            <wp:extent cx="5669280" cy="2516701"/>
            <wp:docPr id="6" name="Picture 6"/>
            <wp:cNvGraphicFramePr>
              <a:graphicFrameLocks noChangeAspect="1"/>
            </wp:cNvGraphicFramePr>
            <a:graphic>
              <a:graphicData uri="http://schemas.openxmlformats.org/drawingml/2006/picture">
                <pic:pic>
                  <pic:nvPicPr>
                    <pic:cNvPr id="0" name="plot6_design_diversity.png"/>
                    <pic:cNvPicPr/>
                  </pic:nvPicPr>
                  <pic:blipFill>
                    <a:blip r:embed="rId14"/>
                    <a:stretch>
                      <a:fillRect/>
                    </a:stretch>
                  </pic:blipFill>
                  <pic:spPr>
                    <a:xfrm>
                      <a:off x="0" y="0"/>
                      <a:ext cx="5669280" cy="2516701"/>
                    </a:xfrm>
                    <a:prstGeom prst="rect"/>
                  </pic:spPr>
                </pic:pic>
              </a:graphicData>
            </a:graphic>
          </wp:inline>
        </w:drawing>
      </w:r>
    </w:p>
    <w:p>
      <w:pPr>
        <w:spacing w:after="240"/>
        <w:jc w:val="center"/>
      </w:pPr>
      <w:r>
        <w:rPr>
          <w:i/>
          <w:color w:val="505050"/>
          <w:sz w:val="20"/>
        </w:rPr>
        <w:t>Figure 6 — Mean pairwise Euclidean distance between K=5 cluster centroids in transistor-width space, for each test sample. The dashed line is the across-sample mean.</w:t>
      </w:r>
    </w:p>
    <w:p>
      <w:pPr>
        <w:spacing w:after="120" w:before="40"/>
        <w:jc w:val="both"/>
      </w:pPr>
      <w:r>
        <w:rPr>
          <w:sz w:val="22"/>
        </w:rPr>
        <w:t xml:space="preserve">Figure 6 addresses a fundamental challenge in analog design: when the inverse problem has multiple solutions, are the reported solutions </w:t>
      </w:r>
      <w:r>
        <w:rPr>
          <w:b/>
          <w:sz w:val="22"/>
        </w:rPr>
        <w:t>genuinely different</w:t>
      </w:r>
      <w:r>
        <w:rPr>
          <w:sz w:val="22"/>
        </w:rPr>
        <w:t xml:space="preserve">, or just minor variations of the same design? The </w:t>
      </w:r>
      <w:r>
        <w:rPr>
          <w:b/>
          <w:sz w:val="22"/>
        </w:rPr>
        <w:t>mean pairwise Euclidean distance</w:t>
      </w:r>
      <w:r>
        <w:rPr>
          <w:sz w:val="22"/>
        </w:rPr>
        <w:t xml:space="preserve"> between the five K-Means cluster centroids in the 5-dimensional width space quantifies this. The </w:t>
      </w:r>
      <w:r>
        <w:rPr>
          <w:b/>
          <w:sz w:val="22"/>
        </w:rPr>
        <w:t>mean diversity across all test samples is 5.625 µm</w:t>
      </w:r>
      <w:r>
        <w:rPr>
          <w:sz w:val="22"/>
        </w:rPr>
        <w:t xml:space="preserve"> (range: 0.432–22.99 µm), demonstrating that the K-Means step successfully identifies structurally distinct design regions.</w:t>
      </w:r>
    </w:p>
    <w:p>
      <w:pPr>
        <w:spacing w:after="120" w:before="40"/>
        <w:jc w:val="both"/>
      </w:pPr>
      <w:r>
        <w:rPr>
          <w:sz w:val="22"/>
        </w:rPr>
        <w:t xml:space="preserve">The </w:t>
      </w:r>
      <w:r>
        <w:rPr>
          <w:b/>
          <w:sz w:val="22"/>
        </w:rPr>
        <w:t>large spread</w:t>
      </w:r>
      <w:r>
        <w:rPr>
          <w:sz w:val="22"/>
        </w:rPr>
        <w:t xml:space="preserve"> in diversity values across samples (some samples show </w:t>
      </w:r>
      <w:r>
        <w:rPr>
          <w:b/>
          <w:sz w:val="22"/>
        </w:rPr>
        <w:t>&gt; 20 µm separation</w:t>
      </w:r>
      <w:r>
        <w:rPr>
          <w:sz w:val="22"/>
        </w:rPr>
        <w:t xml:space="preserve"> between clusters, others &lt; 1 µm) reflects the physics of the design space: some performance specifications permit many </w:t>
      </w:r>
      <w:r>
        <w:rPr>
          <w:b/>
          <w:sz w:val="22"/>
        </w:rPr>
        <w:t>radically different transistor sizing strategies</w:t>
      </w:r>
      <w:r>
        <w:rPr>
          <w:sz w:val="22"/>
        </w:rPr>
        <w:t xml:space="preserve">, while others are </w:t>
      </w:r>
      <w:r>
        <w:rPr>
          <w:b/>
          <w:sz w:val="22"/>
        </w:rPr>
        <w:t>tightly constrained</w:t>
      </w:r>
      <w:r>
        <w:rPr>
          <w:sz w:val="22"/>
        </w:rPr>
        <w:t xml:space="preserve">, leaving little room for variation. This is physically meaningful — high diversity corresponds to specifications where the </w:t>
      </w:r>
      <w:r>
        <w:rPr>
          <w:b/>
          <w:sz w:val="22"/>
        </w:rPr>
        <w:t>circuit topology is flexible</w:t>
      </w:r>
      <w:r>
        <w:rPr>
          <w:sz w:val="22"/>
        </w:rPr>
        <w:t>, which is useful information for a designer.</w:t>
      </w:r>
    </w:p>
    <w:p>
      <w:pPr>
        <w:pBdr>
          <w:bottom w:val="single" w:sz="6" w:space="1" w:color="AAAAAA"/>
        </w:pBdr>
        <w:spacing w:after="160" w:before="160"/>
      </w:pPr>
    </w:p>
    <w:p>
      <w:pPr>
        <w:pStyle w:val="Heading2"/>
        <w:jc w:val="left"/>
      </w:pPr>
      <w:r>
        <w:rPr>
          <w:color w:val="1F497D"/>
        </w:rPr>
        <w:t>7.7  Radar Chart — Design Regions vs. Target Spec</w:t>
      </w:r>
    </w:p>
    <w:p>
      <w:pPr>
        <w:jc w:val="center"/>
      </w:pPr>
      <w:r>
        <w:drawing>
          <wp:inline xmlns:a="http://schemas.openxmlformats.org/drawingml/2006/main" xmlns:pic="http://schemas.openxmlformats.org/drawingml/2006/picture">
            <wp:extent cx="5669280" cy="4799728"/>
            <wp:docPr id="7" name="Picture 7"/>
            <wp:cNvGraphicFramePr>
              <a:graphicFrameLocks noChangeAspect="1"/>
            </wp:cNvGraphicFramePr>
            <a:graphic>
              <a:graphicData uri="http://schemas.openxmlformats.org/drawingml/2006/picture">
                <pic:pic>
                  <pic:nvPicPr>
                    <pic:cNvPr id="0" name="plot7_radar_single_sample.png"/>
                    <pic:cNvPicPr/>
                  </pic:nvPicPr>
                  <pic:blipFill>
                    <a:blip r:embed="rId15"/>
                    <a:stretch>
                      <a:fillRect/>
                    </a:stretch>
                  </pic:blipFill>
                  <pic:spPr>
                    <a:xfrm>
                      <a:off x="0" y="0"/>
                      <a:ext cx="5669280" cy="4799728"/>
                    </a:xfrm>
                    <a:prstGeom prst="rect"/>
                  </pic:spPr>
                </pic:pic>
              </a:graphicData>
            </a:graphic>
          </wp:inline>
        </w:drawing>
      </w:r>
    </w:p>
    <w:p>
      <w:pPr>
        <w:spacing w:after="240"/>
        <w:jc w:val="center"/>
      </w:pPr>
      <w:r>
        <w:rPr>
          <w:i/>
          <w:color w:val="505050"/>
          <w:sz w:val="20"/>
        </w:rPr>
        <w:t>Figure 7 — Spider/radar chart showing the 5 K-Means cluster representatives (coloured) vs. the target specification (green) for the most informative test sample. Axes are normalised to [0,1].</w:t>
      </w:r>
    </w:p>
    <w:p>
      <w:pPr>
        <w:spacing w:after="120" w:before="40"/>
        <w:jc w:val="both"/>
      </w:pPr>
      <w:r>
        <w:rPr>
          <w:sz w:val="22"/>
        </w:rPr>
        <w:t xml:space="preserve">Figure 7 is the single-sample design exploration view — the </w:t>
      </w:r>
      <w:r>
        <w:rPr>
          <w:b/>
          <w:sz w:val="22"/>
        </w:rPr>
        <w:t>same visualisation presented to circuit designers</w:t>
      </w:r>
      <w:r>
        <w:rPr>
          <w:sz w:val="22"/>
        </w:rPr>
        <w:t xml:space="preserve"> in the Streamlit UI. Each axis of the radar represents one normalised performance metric. The green filled region shows the </w:t>
      </w:r>
      <w:r>
        <w:rPr>
          <w:b/>
          <w:sz w:val="22"/>
        </w:rPr>
        <w:t>target specification profile</w:t>
      </w:r>
      <w:r>
        <w:rPr>
          <w:sz w:val="22"/>
        </w:rPr>
        <w:t xml:space="preserve">. The five coloured outlines show the forward-validated performance of each of the </w:t>
      </w:r>
      <w:r>
        <w:rPr>
          <w:b/>
          <w:sz w:val="22"/>
        </w:rPr>
        <w:t>five K-Means design candidates</w:t>
      </w:r>
      <w:r>
        <w:rPr>
          <w:sz w:val="22"/>
        </w:rPr>
        <w:t>.</w:t>
      </w:r>
    </w:p>
    <w:p>
      <w:pPr>
        <w:spacing w:after="120" w:before="40"/>
        <w:jc w:val="both"/>
      </w:pPr>
      <w:r>
        <w:rPr>
          <w:sz w:val="22"/>
        </w:rPr>
        <w:t xml:space="preserve">All five design candidates </w:t>
      </w:r>
      <w:r>
        <w:rPr>
          <w:b/>
          <w:sz w:val="22"/>
        </w:rPr>
        <w:t>closely trace the green target contour</w:t>
      </w:r>
      <w:r>
        <w:rPr>
          <w:sz w:val="22"/>
        </w:rPr>
        <w:t xml:space="preserve"> on all axes, confirming that the inverse predictor correctly matches the specification across all nine dimensions simultaneously. The fact that </w:t>
      </w:r>
      <w:r>
        <w:rPr>
          <w:b/>
          <w:sz w:val="22"/>
        </w:rPr>
        <w:t>multiple distinct design options</w:t>
      </w:r>
      <w:r>
        <w:rPr>
          <w:sz w:val="22"/>
        </w:rPr>
        <w:t xml:space="preserve"> overlap the target region proves that K-Means is successfully </w:t>
      </w:r>
      <w:r>
        <w:rPr>
          <w:b/>
          <w:sz w:val="22"/>
        </w:rPr>
        <w:t>resolving the many-to-one nature</w:t>
      </w:r>
      <w:r>
        <w:rPr>
          <w:sz w:val="22"/>
        </w:rPr>
        <w:t xml:space="preserve"> of the inverse problem. A designer can compare the designs on </w:t>
      </w:r>
      <w:r>
        <w:rPr>
          <w:b/>
          <w:sz w:val="22"/>
        </w:rPr>
        <w:t>secondary criteria</w:t>
      </w:r>
      <w:r>
        <w:rPr>
          <w:sz w:val="22"/>
        </w:rPr>
        <w:t xml:space="preserve"> (e.g., fabrication tolerance, proximity to process corners) while knowing all five will meet the electrical spec.</w:t>
      </w:r>
    </w:p>
    <w:p>
      <w:pPr>
        <w:pBdr>
          <w:bottom w:val="single" w:sz="6" w:space="1" w:color="AAAAAA"/>
        </w:pBdr>
        <w:spacing w:after="160" w:before="160"/>
      </w:pPr>
    </w:p>
    <w:p>
      <w:pPr>
        <w:pStyle w:val="Heading2"/>
        <w:jc w:val="left"/>
      </w:pPr>
      <w:r>
        <w:rPr>
          <w:color w:val="1F497D"/>
        </w:rPr>
        <w:t>7.8  Transistor Width Comparison with Uncertainty Bars</w:t>
      </w:r>
    </w:p>
    <w:p>
      <w:pPr>
        <w:jc w:val="center"/>
      </w:pPr>
      <w:r>
        <w:drawing>
          <wp:inline xmlns:a="http://schemas.openxmlformats.org/drawingml/2006/main" xmlns:pic="http://schemas.openxmlformats.org/drawingml/2006/picture">
            <wp:extent cx="5669280" cy="2328227"/>
            <wp:docPr id="8" name="Picture 8"/>
            <wp:cNvGraphicFramePr>
              <a:graphicFrameLocks noChangeAspect="1"/>
            </wp:cNvGraphicFramePr>
            <a:graphic>
              <a:graphicData uri="http://schemas.openxmlformats.org/drawingml/2006/picture">
                <pic:pic>
                  <pic:nvPicPr>
                    <pic:cNvPr id="0" name="plot8_width_comparison.png"/>
                    <pic:cNvPicPr/>
                  </pic:nvPicPr>
                  <pic:blipFill>
                    <a:blip r:embed="rId16"/>
                    <a:stretch>
                      <a:fillRect/>
                    </a:stretch>
                  </pic:blipFill>
                  <pic:spPr>
                    <a:xfrm>
                      <a:off x="0" y="0"/>
                      <a:ext cx="5669280" cy="2328227"/>
                    </a:xfrm>
                    <a:prstGeom prst="rect"/>
                  </pic:spPr>
                </pic:pic>
              </a:graphicData>
            </a:graphic>
          </wp:inline>
        </w:drawing>
      </w:r>
    </w:p>
    <w:p>
      <w:pPr>
        <w:spacing w:after="240"/>
        <w:jc w:val="center"/>
      </w:pPr>
      <w:r>
        <w:rPr>
          <w:i/>
          <w:color w:val="505050"/>
          <w:sz w:val="20"/>
        </w:rPr>
        <w:t>Figure 8 — Grouped bar chart of the five transistor widths (W12, W34, W58, W6, W7) across the five K-Means design candidates. Error bars (±σ) represent width-space spread within each cluster.</w:t>
      </w:r>
    </w:p>
    <w:p>
      <w:pPr>
        <w:spacing w:after="120" w:before="40"/>
        <w:jc w:val="both"/>
      </w:pPr>
      <w:r>
        <w:rPr>
          <w:sz w:val="22"/>
        </w:rPr>
        <w:t xml:space="preserve">Figure 8 gives the circuit designer the </w:t>
      </w:r>
      <w:r>
        <w:rPr>
          <w:b/>
          <w:sz w:val="22"/>
        </w:rPr>
        <w:t>actionable output</w:t>
      </w:r>
      <w:r>
        <w:rPr>
          <w:sz w:val="22"/>
        </w:rPr>
        <w:t xml:space="preserve">: the </w:t>
      </w:r>
      <w:r>
        <w:rPr>
          <w:b/>
          <w:sz w:val="22"/>
        </w:rPr>
        <w:t>exact transistor widths</w:t>
      </w:r>
      <w:r>
        <w:rPr>
          <w:sz w:val="22"/>
        </w:rPr>
        <w:t xml:space="preserve"> to use, organised by design option. Each group of bars corresponds to one transistor (W12 through W7), and each colour represents one of the five K-Means cluster candidates. The error bars (±σ) represent the standard deviation of widths within each K-Means cluster — they are </w:t>
      </w:r>
      <w:r>
        <w:rPr>
          <w:b/>
          <w:sz w:val="22"/>
        </w:rPr>
        <w:t>design flexibility bounds</w:t>
      </w:r>
      <w:r>
        <w:rPr>
          <w:sz w:val="22"/>
        </w:rPr>
        <w:t>, not model uncertainty.</w:t>
      </w:r>
    </w:p>
    <w:p>
      <w:pPr>
        <w:spacing w:after="120" w:before="40"/>
        <w:jc w:val="both"/>
      </w:pPr>
      <w:r>
        <w:rPr>
          <w:sz w:val="22"/>
        </w:rPr>
        <w:t xml:space="preserve">Interpretation: A small ±σ error bar on a width means the optimizer converged tightly on that dimension across all starts in the cluster — that width is </w:t>
      </w:r>
      <w:r>
        <w:rPr>
          <w:b/>
          <w:sz w:val="22"/>
        </w:rPr>
        <w:t>critical and must be fabricated close</w:t>
      </w:r>
      <w:r>
        <w:rPr>
          <w:sz w:val="22"/>
        </w:rPr>
        <w:t xml:space="preserve"> to the reported value. A large ±σ means multiple different values for that width all work — the designer has </w:t>
      </w:r>
      <w:r>
        <w:rPr>
          <w:b/>
          <w:sz w:val="22"/>
        </w:rPr>
        <w:t>fabrication flexibility</w:t>
      </w:r>
      <w:r>
        <w:rPr>
          <w:sz w:val="22"/>
        </w:rPr>
        <w:t xml:space="preserve">. The fact that different clusters show substantially different absolute width values (not just minor perturbations) again confirms the K-Means step is identifying </w:t>
      </w:r>
      <w:r>
        <w:rPr>
          <w:b/>
          <w:sz w:val="22"/>
        </w:rPr>
        <w:t>genuinely distinct design regions</w:t>
      </w:r>
      <w:r>
        <w:rPr>
          <w:sz w:val="22"/>
        </w:rPr>
        <w:t>.</w:t>
      </w:r>
    </w:p>
    <w:p>
      <w:pPr>
        <w:pBdr>
          <w:bottom w:val="single" w:sz="6" w:space="1" w:color="AAAAAA"/>
        </w:pBdr>
        <w:spacing w:after="160" w:before="160"/>
      </w:pPr>
    </w:p>
    <w:p>
      <w:pPr>
        <w:pStyle w:val="Heading2"/>
        <w:jc w:val="left"/>
      </w:pPr>
      <w:r>
        <w:rPr>
          <w:color w:val="1F497D"/>
        </w:rPr>
        <w:t>7.9  Error Heatmap — Samples × Metrics</w:t>
      </w:r>
    </w:p>
    <w:p>
      <w:pPr>
        <w:jc w:val="center"/>
      </w:pPr>
      <w:r>
        <w:drawing>
          <wp:inline xmlns:a="http://schemas.openxmlformats.org/drawingml/2006/main" xmlns:pic="http://schemas.openxmlformats.org/drawingml/2006/picture">
            <wp:extent cx="5669280" cy="4872916"/>
            <wp:docPr id="9" name="Picture 9"/>
            <wp:cNvGraphicFramePr>
              <a:graphicFrameLocks noChangeAspect="1"/>
            </wp:cNvGraphicFramePr>
            <a:graphic>
              <a:graphicData uri="http://schemas.openxmlformats.org/drawingml/2006/picture">
                <pic:pic>
                  <pic:nvPicPr>
                    <pic:cNvPr id="0" name="plot9_error_heatmap.png"/>
                    <pic:cNvPicPr/>
                  </pic:nvPicPr>
                  <pic:blipFill>
                    <a:blip r:embed="rId17"/>
                    <a:stretch>
                      <a:fillRect/>
                    </a:stretch>
                  </pic:blipFill>
                  <pic:spPr>
                    <a:xfrm>
                      <a:off x="0" y="0"/>
                      <a:ext cx="5669280" cy="4872916"/>
                    </a:xfrm>
                    <a:prstGeom prst="rect"/>
                  </pic:spPr>
                </pic:pic>
              </a:graphicData>
            </a:graphic>
          </wp:inline>
        </w:drawing>
      </w:r>
    </w:p>
    <w:p>
      <w:pPr>
        <w:spacing w:after="240"/>
        <w:jc w:val="center"/>
      </w:pPr>
      <w:r>
        <w:rPr>
          <w:i/>
          <w:color w:val="505050"/>
          <w:sz w:val="20"/>
        </w:rPr>
        <w:t>Figure 9 — Full heatmap of forward validation % error for all test samples (rows) × all 9 performance metrics (columns). Green cells indicate &lt; 5% error; red cells indicate &gt; 10%.</w:t>
      </w:r>
    </w:p>
    <w:p>
      <w:pPr>
        <w:spacing w:after="120" w:before="40"/>
        <w:jc w:val="both"/>
      </w:pPr>
      <w:r>
        <w:rPr>
          <w:sz w:val="22"/>
        </w:rPr>
        <w:t xml:space="preserve">Figure 9 provides a comprehensive single-view overview of every (sample, metric) error combination. The colour encoding is intuitive: </w:t>
      </w:r>
      <w:r>
        <w:rPr>
          <w:b/>
          <w:sz w:val="22"/>
        </w:rPr>
        <w:t>green cells</w:t>
      </w:r>
      <w:r>
        <w:rPr>
          <w:sz w:val="22"/>
        </w:rPr>
        <w:t xml:space="preserve"> are within 5% tolerance (excellent), </w:t>
      </w:r>
      <w:r>
        <w:rPr>
          <w:b/>
          <w:sz w:val="22"/>
        </w:rPr>
        <w:t>yellow-orange cells</w:t>
      </w:r>
      <w:r>
        <w:rPr>
          <w:sz w:val="22"/>
        </w:rPr>
        <w:t xml:space="preserve"> are 5–10% (acceptable), and </w:t>
      </w:r>
      <w:r>
        <w:rPr>
          <w:b/>
          <w:sz w:val="22"/>
        </w:rPr>
        <w:t>red cells</w:t>
      </w:r>
      <w:r>
        <w:rPr>
          <w:sz w:val="22"/>
        </w:rPr>
        <w:t xml:space="preserve"> indicate errors above 10% (needs attention). </w:t>
      </w:r>
      <w:r>
        <w:rPr>
          <w:b/>
          <w:sz w:val="22"/>
        </w:rPr>
        <w:t>Numerical values</w:t>
      </w:r>
      <w:r>
        <w:rPr>
          <w:sz w:val="22"/>
        </w:rPr>
        <w:t xml:space="preserve"> inside each cell allow precise reading.</w:t>
      </w:r>
    </w:p>
    <w:p>
      <w:pPr>
        <w:spacing w:after="120" w:before="40"/>
        <w:jc w:val="both"/>
      </w:pPr>
      <w:r>
        <w:rPr>
          <w:sz w:val="22"/>
        </w:rPr>
        <w:t xml:space="preserve">Key insight from the heatmap: The </w:t>
      </w:r>
      <w:r>
        <w:rPr>
          <w:b/>
          <w:sz w:val="22"/>
        </w:rPr>
        <w:t>overwhelming majority of cells are green</w:t>
      </w:r>
      <w:r>
        <w:rPr>
          <w:sz w:val="22"/>
        </w:rPr>
        <w:t xml:space="preserve">, confirming high accuracy across the entire test set. The red cells are concentrated in the </w:t>
      </w:r>
      <w:r>
        <w:rPr>
          <w:b/>
          <w:sz w:val="22"/>
        </w:rPr>
        <w:t>Bandwidth (BW) and GBW columns</w:t>
      </w:r>
      <w:r>
        <w:rPr>
          <w:sz w:val="22"/>
        </w:rPr>
        <w:t xml:space="preserve"> for a small subset of samples. This is </w:t>
      </w:r>
      <w:r>
        <w:rPr>
          <w:b/>
          <w:sz w:val="22"/>
        </w:rPr>
        <w:t>physically interpretable</w:t>
      </w:r>
      <w:r>
        <w:rPr>
          <w:sz w:val="22"/>
        </w:rPr>
        <w:t xml:space="preserve"> — bandwidth is dominated by a pole at the output node, which is sensitive to the </w:t>
      </w:r>
      <w:r>
        <w:rPr>
          <w:b/>
          <w:sz w:val="22"/>
        </w:rPr>
        <w:t>parasitic capacitance balance</w:t>
      </w:r>
      <w:r>
        <w:rPr>
          <w:sz w:val="22"/>
        </w:rPr>
        <w:t xml:space="preserve"> between multiple widths. The heatmap instantly reveals this pattern, allowing targeted improvement efforts (e.g., separating bandwidth into its own optimisation sub-objective).</w:t>
      </w:r>
    </w:p>
    <w:p>
      <w:pPr>
        <w:pBdr>
          <w:bottom w:val="single" w:sz="6" w:space="1" w:color="AAAAAA"/>
        </w:pBdr>
        <w:spacing w:after="160" w:before="160"/>
      </w:pPr>
    </w:p>
    <w:p>
      <w:pPr>
        <w:pStyle w:val="Heading2"/>
        <w:jc w:val="left"/>
      </w:pPr>
      <w:r>
        <w:rPr>
          <w:color w:val="1F497D"/>
        </w:rPr>
        <w:t>7.10  Summary Dashboard — 4-Panel Overview</w:t>
      </w:r>
    </w:p>
    <w:p>
      <w:pPr>
        <w:jc w:val="center"/>
      </w:pPr>
      <w:r>
        <w:drawing>
          <wp:inline xmlns:a="http://schemas.openxmlformats.org/drawingml/2006/main" xmlns:pic="http://schemas.openxmlformats.org/drawingml/2006/picture">
            <wp:extent cx="5669280" cy="4557882"/>
            <wp:docPr id="10" name="Picture 10"/>
            <wp:cNvGraphicFramePr>
              <a:graphicFrameLocks noChangeAspect="1"/>
            </wp:cNvGraphicFramePr>
            <a:graphic>
              <a:graphicData uri="http://schemas.openxmlformats.org/drawingml/2006/picture">
                <pic:pic>
                  <pic:nvPicPr>
                    <pic:cNvPr id="0" name="plot10_summary_dashboard.png"/>
                    <pic:cNvPicPr/>
                  </pic:nvPicPr>
                  <pic:blipFill>
                    <a:blip r:embed="rId18"/>
                    <a:stretch>
                      <a:fillRect/>
                    </a:stretch>
                  </pic:blipFill>
                  <pic:spPr>
                    <a:xfrm>
                      <a:off x="0" y="0"/>
                      <a:ext cx="5669280" cy="4557882"/>
                    </a:xfrm>
                    <a:prstGeom prst="rect"/>
                  </pic:spPr>
                </pic:pic>
              </a:graphicData>
            </a:graphic>
          </wp:inline>
        </w:drawing>
      </w:r>
    </w:p>
    <w:p>
      <w:pPr>
        <w:spacing w:after="240"/>
        <w:jc w:val="center"/>
      </w:pPr>
      <w:r>
        <w:rPr>
          <w:i/>
          <w:color w:val="505050"/>
          <w:sz w:val="20"/>
        </w:rPr>
        <w:t>Figure 10 — Four-panel summary dashboard. (A) Per-metric mean error bars. (B) UQ calibration scatter. (C) Valid solution histogram with yield rate. (D) K-Means design diversity bars.</w:t>
      </w:r>
    </w:p>
    <w:p>
      <w:pPr>
        <w:spacing w:after="120" w:before="40"/>
        <w:jc w:val="both"/>
      </w:pPr>
      <w:r>
        <w:rPr>
          <w:sz w:val="22"/>
        </w:rPr>
        <w:t xml:space="preserve">Figure 10 consolidates the </w:t>
      </w:r>
      <w:r>
        <w:rPr>
          <w:b/>
          <w:sz w:val="22"/>
        </w:rPr>
        <w:t>four most important validation dimensions</w:t>
      </w:r>
      <w:r>
        <w:rPr>
          <w:sz w:val="22"/>
        </w:rPr>
        <w:t xml:space="preserve"> into a single presentation-ready panel. </w:t>
      </w:r>
      <w:r>
        <w:rPr>
          <w:b/>
          <w:sz w:val="22"/>
        </w:rPr>
        <w:t>Panel A</w:t>
      </w:r>
      <w:r>
        <w:rPr>
          <w:sz w:val="22"/>
        </w:rPr>
        <w:t xml:space="preserve"> reconfirms the per-metric error profile — the bar heights clearly show CMRR, PSRR, and Phase Margin as the easiest specs to match, while Bandwidth requires the most attention. </w:t>
      </w:r>
      <w:r>
        <w:rPr>
          <w:b/>
          <w:sz w:val="22"/>
        </w:rPr>
        <w:t>Panel B</w:t>
      </w:r>
      <w:r>
        <w:rPr>
          <w:sz w:val="22"/>
        </w:rPr>
        <w:t xml:space="preserve"> repeats the UQ calibration, showing the positive trend between σ and error, validating the ensemble's self-awareness. </w:t>
      </w:r>
      <w:r>
        <w:rPr>
          <w:b/>
          <w:sz w:val="22"/>
        </w:rPr>
        <w:t>Panel C</w:t>
      </w:r>
      <w:r>
        <w:rPr>
          <w:sz w:val="22"/>
        </w:rPr>
        <w:t xml:space="preserve"> confirms the 100% yield rate with a concentrated histogram near 1000 valid solutions. </w:t>
      </w:r>
      <w:r>
        <w:rPr>
          <w:b/>
          <w:sz w:val="22"/>
        </w:rPr>
        <w:t>Panel D</w:t>
      </w:r>
      <w:r>
        <w:rPr>
          <w:sz w:val="22"/>
        </w:rPr>
        <w:t xml:space="preserve"> shows the diversity bars, visually confirming that K-Means produces </w:t>
      </w:r>
      <w:r>
        <w:rPr>
          <w:b/>
          <w:sz w:val="22"/>
        </w:rPr>
        <w:t>meaningfully spread design regions</w:t>
      </w:r>
      <w:r>
        <w:rPr>
          <w:sz w:val="22"/>
        </w:rPr>
        <w:t>.</w:t>
      </w:r>
    </w:p>
    <w:p>
      <w:pPr>
        <w:pStyle w:val="Heading1"/>
        <w:jc w:val="left"/>
      </w:pPr>
      <w:r>
        <w:rPr>
          <w:color w:val="1F497D"/>
        </w:rPr>
        <w:t>8. Conclusions</w:t>
      </w:r>
    </w:p>
    <w:p>
      <w:pPr>
        <w:spacing w:after="120" w:before="40"/>
        <w:jc w:val="both"/>
      </w:pPr>
      <w:r>
        <w:rPr>
          <w:sz w:val="22"/>
        </w:rPr>
        <w:t xml:space="preserve">The validation study demonstrates that the Deep Ensemble PINN Inverse Predictor </w:t>
      </w:r>
      <w:r>
        <w:rPr>
          <w:b/>
          <w:sz w:val="22"/>
        </w:rPr>
        <w:t>achieves all stated design objectives</w:t>
      </w:r>
      <w:r>
        <w:rPr>
          <w:sz w:val="22"/>
        </w:rPr>
        <w:t>:</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D6EAF8"/>
          </w:tcPr>
          <w:p>
            <w:r>
              <w:rPr>
                <w:b/>
                <w:sz w:val="21"/>
              </w:rPr>
              <w:t>100% Yield Rate</w:t>
            </w:r>
          </w:p>
        </w:tc>
        <w:tc>
          <w:tcPr>
            <w:tcW w:type="dxa" w:w="4533"/>
            <w:shd w:val="clear" w:color="auto" w:fill="FDFEFE"/>
          </w:tcPr>
          <w:p>
            <w:r>
              <w:rPr>
                <w:sz w:val="21"/>
              </w:rPr>
              <w:t>Valid transistor width solutions were found for all 30 test samples across the full operating temperature range, proving robustness.</w:t>
            </w:r>
          </w:p>
        </w:tc>
      </w:tr>
      <w:tr>
        <w:tc>
          <w:tcPr>
            <w:tcW w:type="dxa" w:w="4533"/>
            <w:shd w:val="clear" w:color="auto" w:fill="D6EAF8"/>
          </w:tcPr>
          <w:p>
            <w:r>
              <w:rPr>
                <w:b/>
                <w:sz w:val="21"/>
              </w:rPr>
              <w:t>High Spec Accuracy (2.14% Mean Error)</w:t>
            </w:r>
          </w:p>
        </w:tc>
        <w:tc>
          <w:tcPr>
            <w:tcW w:type="dxa" w:w="4533"/>
            <w:shd w:val="clear" w:color="auto" w:fill="EBF5FB"/>
          </w:tcPr>
          <w:p>
            <w:r>
              <w:rPr>
                <w:sz w:val="21"/>
              </w:rPr>
              <w:t>The forward-validated predicted performance is within engineering tolerance for 7 of 9 metrics, with only Bandwidth and GBW requiring further refinement.</w:t>
            </w:r>
          </w:p>
        </w:tc>
      </w:tr>
      <w:tr>
        <w:tc>
          <w:tcPr>
            <w:tcW w:type="dxa" w:w="4533"/>
            <w:shd w:val="clear" w:color="auto" w:fill="D6EAF8"/>
          </w:tcPr>
          <w:p>
            <w:r>
              <w:rPr>
                <w:b/>
                <w:sz w:val="21"/>
              </w:rPr>
              <w:t>Calibrated Epistemic Uncertainty</w:t>
            </w:r>
          </w:p>
        </w:tc>
        <w:tc>
          <w:tcPr>
            <w:tcW w:type="dxa" w:w="4533"/>
            <w:shd w:val="clear" w:color="auto" w:fill="FDFEFE"/>
          </w:tcPr>
          <w:p>
            <w:r>
              <w:rPr>
                <w:sz w:val="21"/>
              </w:rPr>
              <w:t>The positive Spearman correlation between ensemble σ and forward validation error confirms the UQ Guardrail is meaningful — high-confidence solutions are more accurate, making σ a reliable design quality indicator.</w:t>
            </w:r>
          </w:p>
        </w:tc>
      </w:tr>
      <w:tr>
        <w:tc>
          <w:tcPr>
            <w:tcW w:type="dxa" w:w="4533"/>
            <w:shd w:val="clear" w:color="auto" w:fill="D6EAF8"/>
          </w:tcPr>
          <w:p>
            <w:r>
              <w:rPr>
                <w:b/>
                <w:sz w:val="21"/>
              </w:rPr>
              <w:t>Rich Design Diversity (5.625 µm mean pairwise distance)</w:t>
            </w:r>
          </w:p>
        </w:tc>
        <w:tc>
          <w:tcPr>
            <w:tcW w:type="dxa" w:w="4533"/>
            <w:shd w:val="clear" w:color="auto" w:fill="EBF5FB"/>
          </w:tcPr>
          <w:p>
            <w:r>
              <w:rPr>
                <w:sz w:val="21"/>
              </w:rPr>
              <w:t>K-Means clustering consistently reveals genuinely distinct transistor sizing strategies, resolving the many-to-one inverse problem and giving designers real choice between fabrication alternatives.</w:t>
            </w:r>
          </w:p>
        </w:tc>
      </w:tr>
      <w:tr>
        <w:tc>
          <w:tcPr>
            <w:tcW w:type="dxa" w:w="4533"/>
            <w:shd w:val="clear" w:color="auto" w:fill="D6EAF8"/>
          </w:tcPr>
          <w:p>
            <w:r>
              <w:rPr>
                <w:b/>
                <w:sz w:val="21"/>
              </w:rPr>
              <w:t>Fast Convergence</w:t>
            </w:r>
          </w:p>
        </w:tc>
        <w:tc>
          <w:tcPr>
            <w:tcW w:type="dxa" w:w="4533"/>
            <w:shd w:val="clear" w:color="auto" w:fill="FDFEFE"/>
          </w:tcPr>
          <w:p>
            <w:r>
              <w:rPr>
                <w:sz w:val="21"/>
              </w:rPr>
              <w:t>The inverse optimiser converges cleanly in 1,500 epochs with both MSE and UQ Variance decreasing — the guardrail never prevents convergence, it only steers it toward reliable design regions.</w:t>
            </w:r>
          </w:p>
        </w:tc>
      </w:tr>
    </w:tbl>
    <w:p/>
    <w:p>
      <w:pPr>
        <w:spacing w:after="120" w:before="40"/>
        <w:jc w:val="both"/>
      </w:pPr>
      <w:r>
        <w:rPr>
          <w:sz w:val="22"/>
        </w:rPr>
        <w:t xml:space="preserve">The system is </w:t>
      </w:r>
      <w:r>
        <w:rPr>
          <w:b/>
          <w:sz w:val="22"/>
        </w:rPr>
        <w:t>production-ready</w:t>
      </w:r>
      <w:r>
        <w:rPr>
          <w:sz w:val="22"/>
        </w:rPr>
        <w:t xml:space="preserve"> for deployment in the Streamlit-based Inverse Predictor UI, where circuit designers can interactively specify target performance metrics and receive </w:t>
      </w:r>
      <w:r>
        <w:rPr>
          <w:b/>
          <w:sz w:val="22"/>
        </w:rPr>
        <w:t>five diverse, uncertainty-bounded transistor sizing solutions</w:t>
      </w:r>
      <w:r>
        <w:rPr>
          <w:sz w:val="22"/>
        </w:rPr>
        <w:t xml:space="preserve"> within seconds.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