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Xc4f053faca4fd8c80b20462674450357c1b88a6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Cryptography and Network Security: Group 1 Design Document</w:t>
      </w:r>
    </w:p>
    <w:bookmarkStart w:id="9" w:name="X86beffefe80320550b727097bc06e599e561541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Complete System Architecture, Engineering Design, Subsystem Specifications, and Deployment Guide for IoT Botnet Attack Detection Using Pruned CART Decision Trees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Institute:</w:t>
      </w:r>
      <w:r>
        <w:t xml:space="preserve"> </w:t>
      </w:r>
      <w:r>
        <w:t xml:space="preserve">Sardar Patel Institute of Technology, Munshi Nagar, Andheri (W), Mumbai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Cryptography and Network Security (CNS) A.Y. 2026–27</w:t>
      </w:r>
      <w:r>
        <w:br/>
      </w:r>
      <w:r>
        <w:rPr>
          <w:b/>
          <w:bCs/>
        </w:rPr>
        <w:t xml:space="preserve">Faculty:</w:t>
      </w:r>
      <w:r>
        <w:t xml:space="preserve"> </w:t>
      </w:r>
      <w:r>
        <w:t xml:space="preserve">Prof. Renuka Pawar</w:t>
      </w:r>
      <w:r>
        <w:br/>
      </w:r>
      <w:r>
        <w:rPr>
          <w:b/>
          <w:bCs/>
        </w:rPr>
        <w:t xml:space="preserve">Group:</w:t>
      </w:r>
      <w:r>
        <w:t xml:space="preserve"> </w:t>
      </w:r>
      <w:r>
        <w:t xml:space="preserve">Group 1 — Decision Tree</w:t>
      </w:r>
      <w:r>
        <w:br/>
      </w:r>
      <w:r>
        <w:rPr>
          <w:b/>
          <w:bCs/>
        </w:rPr>
        <w:t xml:space="preserve">Assigned Research Topic:</w:t>
      </w:r>
      <w:r>
        <w:t xml:space="preserve"> </w:t>
      </w:r>
      <w:r>
        <w:t xml:space="preserve">Lightweight Android and IoT Botnet Detection Using C4.5 Decision Trees</w:t>
      </w:r>
      <w:r>
        <w:br/>
      </w:r>
      <w:r>
        <w:rPr>
          <w:b/>
          <w:bCs/>
        </w:rPr>
        <w:t xml:space="preserve">Actual Machine Learning Implementation:</w:t>
      </w:r>
      <w:r>
        <w:t xml:space="preserve"> </w:t>
      </w:r>
      <w:r>
        <w:t xml:space="preserve">Classification and Regression Trees (CART) via</w:t>
      </w:r>
      <w:r>
        <w:t xml:space="preserve"> </w:t>
      </w:r>
      <w:r>
        <w:rPr>
          <w:rStyle w:val="VerbatimChar"/>
        </w:rPr>
        <w:t xml:space="preserve">sklearn.tree.DecisionTreeClassifier</w:t>
      </w:r>
      <w:r>
        <w:br/>
      </w:r>
      <w:r>
        <w:rPr>
          <w:b/>
          <w:bCs/>
        </w:rPr>
        <w:t xml:space="preserve">Dataset:</w:t>
      </w:r>
      <w:r>
        <w:t xml:space="preserve"> </w:t>
      </w:r>
      <w:r>
        <w:t xml:space="preserve">N-BaIoT — Network-Based Detection of IoT Botnet Attacks (UCI ML Repository, ID: 442)</w:t>
      </w:r>
      <w:r>
        <w:br/>
      </w:r>
      <w:r>
        <w:rPr>
          <w:b/>
          <w:bCs/>
        </w:rPr>
        <w:t xml:space="preserve">Target Environment:</w:t>
      </w:r>
      <w:r>
        <w:t xml:space="preserve"> </w:t>
      </w:r>
      <w:r>
        <w:t xml:space="preserve">Resource-Constrained IoT Gateway Appliances and Edge Routers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system-overview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1. System Overview</w:t>
      </w:r>
    </w:p>
    <w:p>
      <w:pPr>
        <w:pStyle w:val="FirstParagraph"/>
      </w:pPr>
      <w:r>
        <w:t xml:space="preserve">The Group 1 Intrusion Detection System (IDS) is an edge-native, deterministic cybersecurity engine designed to detect autonomous botnet infections (specifically Mirai and BASHLITE/Gafgyt malware) in real time. Deployed directly on residential and commercial IoT gateway routers, the system intercepts continuous traffic flow statistics and classifies packet vectors within microseconds. By utilizing a cost-complexity pruned CART decision tree, the system maintains high predictive accuracy (99.6183% multiclass, 99.9649% binary) while preserving an ultra-compact memory footprint (5.44 KB).</w:t>
      </w:r>
    </w:p>
    <w:bookmarkEnd w:id="11"/>
    <w:bookmarkStart w:id="12" w:name="problem-definition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2. Problem Definition</w:t>
      </w:r>
    </w:p>
    <w:p>
      <w:pPr>
        <w:pStyle w:val="FirstParagraph"/>
      </w:pPr>
      <w:r>
        <w:t xml:space="preserve">Internet of Things (IoT) hardware—ranging from surveillance webcams and video baby monitors to smart thermostats—suffers from chronic firmware vulnerabilities, hardcoded manufacturer credentials, and lack of endpoint security agents. Worm-like malware variants automatically scan subnetworks, compromise IoT appliances, and coordinate massive Distributed Denial of Service (DDoS) attacks. Existing deep neural network anomaly detectors impose high floating-point multiply-accumulate operations and require hundreds of megabytes of RAM, exceeding edge gateway hardware capabilities.</w:t>
      </w:r>
    </w:p>
    <w:bookmarkEnd w:id="12"/>
    <w:bookmarkStart w:id="13" w:name="project-objective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3. Project 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Algorithmic Parsimony:</w:t>
      </w:r>
      <w:r>
        <w:t xml:space="preserve"> </w:t>
      </w:r>
      <w:r>
        <w:t xml:space="preserve">Implement and regularize a CART-style decision tree to replace compute-heavy neural architectures.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Deterministic Microsecond Latency:</w:t>
      </w:r>
      <w:r>
        <w:t xml:space="preserve"> </w:t>
      </w:r>
      <w:r>
        <w:t xml:space="preserve">Bound tree depth to guarantee sub-40</w:t>
      </w:r>
      <w:r>
        <w:t xml:space="preserve"> </w:t>
      </w:r>
      <m:oMath>
        <m:r>
          <m:t>μ</m:t>
        </m:r>
      </m:oMath>
      <w:r>
        <w:t xml:space="preserve">s per-packet classification latency.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Overfitting Mitigation:</w:t>
      </w:r>
      <w:r>
        <w:t xml:space="preserve"> </w:t>
      </w:r>
      <w:r>
        <w:t xml:space="preserve">Apply Minimal Cost-Complexity Pruning (</w:t>
      </w:r>
      <m:oMath>
        <m:r>
          <m:t>c</m:t>
        </m:r>
        <m:r>
          <m:t>c</m:t>
        </m:r>
        <m:r>
          <m:t>p</m:t>
        </m:r>
        <m:r>
          <m:rPr>
            <m:sty m:val="p"/>
          </m:rPr>
          <m:t>_</m:t>
        </m:r>
        <m:r>
          <m:t>α</m:t>
        </m:r>
      </m:oMath>
      <w:r>
        <w:t xml:space="preserve">) to shrink the generalization gap without degrading accuracy.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 White-Box Auditability:</w:t>
      </w:r>
      <w:r>
        <w:t xml:space="preserve"> </w:t>
      </w:r>
      <w:r>
        <w:t xml:space="preserve">Provide interpretable Boolean decision rules for security forensic teams and automated firewall policy generation.</w:t>
      </w:r>
    </w:p>
    <w:bookmarkEnd w:id="13"/>
    <w:bookmarkStart w:id="14" w:name="n-baiot-dataset-architecture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4. N-BaIoT Dataset Architecture</w:t>
      </w:r>
    </w:p>
    <w:p>
      <w:pPr>
        <w:pStyle w:val="FirstParagraph"/>
      </w:pPr>
      <w:r>
        <w:t xml:space="preserve">The benchmark dataset consists of network traffic captured from 9 physical commercial IoT appliances infected authentically with Mirai and BASHLITE malware:</w:t>
      </w:r>
      <w:r>
        <w:t xml:space="preserve"> </w:t>
      </w:r>
      <w:r>
        <w:t xml:space="preserve">1. Danmini Doorbell</w:t>
      </w:r>
      <w:r>
        <w:t xml:space="preserve"> </w:t>
      </w:r>
      <w:r>
        <w:t xml:space="preserve">2. Ecobee Thermostat</w:t>
      </w:r>
      <w:r>
        <w:t xml:space="preserve"> </w:t>
      </w:r>
      <w:r>
        <w:t xml:space="preserve">3. Ennio Doorbell</w:t>
      </w:r>
      <w:r>
        <w:t xml:space="preserve"> </w:t>
      </w:r>
      <w:r>
        <w:t xml:space="preserve">4. Philips B120N/10 Baby Monitor</w:t>
      </w:r>
      <w:r>
        <w:t xml:space="preserve"> </w:t>
      </w:r>
      <w:r>
        <w:t xml:space="preserve">5. Provision PT-737E Security Camera</w:t>
      </w:r>
      <w:r>
        <w:t xml:space="preserve"> </w:t>
      </w:r>
      <w:r>
        <w:t xml:space="preserve">6. Provision PT-838 Security Camera</w:t>
      </w:r>
      <w:r>
        <w:t xml:space="preserve"> </w:t>
      </w:r>
      <w:r>
        <w:t xml:space="preserve">7. Samsung SNH-1011N Webcam</w:t>
      </w:r>
      <w:r>
        <w:t xml:space="preserve"> </w:t>
      </w:r>
      <w:r>
        <w:t xml:space="preserve">8. SimpleHome XCS7-1002-WHT Camera</w:t>
      </w:r>
      <w:r>
        <w:t xml:space="preserve"> </w:t>
      </w:r>
      <w:r>
        <w:t xml:space="preserve">9. SimpleHome XCS7-1003-WHT Camera</w:t>
      </w:r>
    </w:p>
    <w:bookmarkEnd w:id="14"/>
    <w:bookmarkStart w:id="15" w:name="dataset-flow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5. Dataset Flow</w:t>
      </w:r>
    </w:p>
    <w:p>
      <w:pPr>
        <w:pStyle w:val="FirstParagraph"/>
      </w:pPr>
      <w:r>
        <w:t xml:space="preserve">Network traffic is ingested from network interface cards, routed through the Kitsune feature extraction engine to produce damped window statistics, accumulated into device-specific files, and normalized into a unified tabular schema.</w:t>
      </w:r>
    </w:p>
    <w:bookmarkEnd w:id="15"/>
    <w:bookmarkStart w:id="16" w:name="data-ingest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6. Data Ingestion</w:t>
      </w:r>
    </w:p>
    <w:p>
      <w:pPr>
        <w:pStyle w:val="FirstParagraph"/>
      </w:pPr>
      <w:r>
        <w:t xml:space="preserve">The raw dataset totals</w:t>
      </w:r>
      <w:r>
        <w:t xml:space="preserve"> </w:t>
      </w:r>
      <w:r>
        <w:rPr>
          <w:b/>
          <w:bCs/>
        </w:rPr>
        <w:t xml:space="preserve">7,062,606 packet records</w:t>
      </w:r>
      <w:r>
        <w:t xml:space="preserve"> </w:t>
      </w:r>
      <w:r>
        <w:t xml:space="preserve">distributed across</w:t>
      </w:r>
      <w:r>
        <w:t xml:space="preserve"> </w:t>
      </w:r>
      <w:r>
        <w:rPr>
          <w:b/>
          <w:bCs/>
        </w:rPr>
        <w:t xml:space="preserve">89 distinct CSV files</w:t>
      </w:r>
      <w:r>
        <w:t xml:space="preserve"> </w:t>
      </w:r>
      <w:r>
        <w:t xml:space="preserve">(over 9.2 GB uncompressed). Ingestion streams each CSV file row-by-row, verifying header schema consistency and encoding device metadata.</w:t>
      </w:r>
    </w:p>
    <w:bookmarkEnd w:id="16"/>
    <w:bookmarkStart w:id="17" w:name="data-inspection-hygiene-audit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7. Data Inspection &amp; Hygiene Audit</w:t>
      </w:r>
    </w:p>
    <w:p>
      <w:pPr>
        <w:pStyle w:val="FirstParagraph"/>
      </w:pPr>
      <w:r>
        <w:t xml:space="preserve">A rigorous automated inspection confirmed:</w:t>
      </w:r>
      <w:r>
        <w:t xml:space="preserve"> </w:t>
      </w:r>
      <w:r>
        <w:t xml:space="preserve">- Zero missing values (0 NaNs) across all records.</w:t>
      </w:r>
      <w:r>
        <w:t xml:space="preserve"> </w:t>
      </w:r>
      <w:r>
        <w:t xml:space="preserve">- Zero infinite values (0 Infs).</w:t>
      </w:r>
      <w:r>
        <w:t xml:space="preserve"> </w:t>
      </w:r>
      <w:r>
        <w:t xml:space="preserve">- 100% data types mapped to continuous IEEE 754 64-bit floating point numbers (</w:t>
      </w:r>
      <w:r>
        <w:rPr>
          <w:rStyle w:val="VerbatimChar"/>
        </w:rPr>
        <w:t xml:space="preserve">float64</w:t>
      </w:r>
      <w:r>
        <w:t xml:space="preserve">).</w:t>
      </w:r>
    </w:p>
    <w:bookmarkEnd w:id="17"/>
    <w:bookmarkStart w:id="18" w:name="systematic-sampling-methodology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8. Systematic Sampling Methodology</w:t>
      </w:r>
    </w:p>
    <w:p>
      <w:pPr>
        <w:pStyle w:val="FirstParagraph"/>
      </w:pPr>
      <w:r>
        <w:t xml:space="preserve">To accommodate physical development RAM constraints (16.0 GB) while strictly preserving device and attack distributions, a deterministic systematic sampling algorithm was executed: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Sampling Step:</w:t>
      </w:r>
      <w:r>
        <w:t xml:space="preserve"> </w:t>
      </w:r>
      <w:r>
        <w:t xml:space="preserve">Fixed periodic step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Starting Offset: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Resulting Subset:</w:t>
      </w:r>
      <w:r>
        <w:t xml:space="preserve"> </w:t>
      </w:r>
      <w:r>
        <w:t xml:space="preserve">Exactly</w:t>
      </w:r>
      <w:r>
        <w:t xml:space="preserve"> </w:t>
      </w:r>
      <w:r>
        <w:rPr>
          <w:b/>
          <w:bCs/>
        </w:rPr>
        <w:t xml:space="preserve">128,366 packets</w:t>
      </w:r>
      <w:r>
        <w:t xml:space="preserve">, maintaining class proportions within 0.05% of the population.</w:t>
      </w:r>
    </w:p>
    <w:bookmarkEnd w:id="18"/>
    <w:bookmarkStart w:id="19" w:name="preprocessing-pipeline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9. Preprocessing Pipeline</w:t>
      </w:r>
    </w:p>
    <w:p>
      <w:pPr>
        <w:pStyle w:val="FirstParagraph"/>
      </w:pPr>
      <w:r>
        <w:t xml:space="preserve">The preprocessing module loads sampled data, performs label mapping into 11 multiclass categories and binary categories, aligns feature column indices, and saves reproducible binary arrays (</w:t>
      </w:r>
      <w:r>
        <w:rPr>
          <w:rStyle w:val="VerbatimChar"/>
        </w:rPr>
        <w:t xml:space="preserve">preprocessed_data.joblib</w:t>
      </w:r>
      <w:r>
        <w:t xml:space="preserve">).</w:t>
      </w:r>
    </w:p>
    <w:bookmarkEnd w:id="19"/>
    <w:bookmarkStart w:id="20" w:name="feature-handling-transport-dynamics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10. Feature Handling &amp; Transport Dynamics</w:t>
      </w:r>
    </w:p>
    <w:p>
      <w:pPr>
        <w:pStyle w:val="FirstParagraph"/>
      </w:pPr>
      <w:r>
        <w:t xml:space="preserve">The feature space consists of</w:t>
      </w:r>
      <w:r>
        <w:t xml:space="preserve"> </w:t>
      </w:r>
      <w:r>
        <w:rPr>
          <w:b/>
          <w:bCs/>
        </w:rPr>
        <w:t xml:space="preserve">115 continuous features</w:t>
      </w:r>
      <w:r>
        <w:t xml:space="preserve"> </w:t>
      </w:r>
      <w:r>
        <w:t xml:space="preserve">computed across 5 decay windows (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0.01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). Discrete port numbers are absent; socket-level transport dynamics are captured through continuous</w:t>
      </w:r>
      <w:r>
        <w:t xml:space="preserve"> </w:t>
      </w:r>
      <w:r>
        <w:rPr>
          <w:rStyle w:val="VerbatimChar"/>
        </w:rPr>
        <w:t xml:space="preserve">HpHp_*</w:t>
      </w:r>
      <w:r>
        <w:t xml:space="preserve"> </w:t>
      </w:r>
      <w:r>
        <w:t xml:space="preserve">aggregates (Host+Port-to-Host+Port statistics).</w:t>
      </w:r>
    </w:p>
    <w:bookmarkEnd w:id="20"/>
    <w:bookmarkStart w:id="21" w:name="train-test-split-architecture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11. Train / Test Split Architecture</w:t>
      </w:r>
    </w:p>
    <w:p>
      <w:pPr>
        <w:pStyle w:val="FirstParagraph"/>
      </w:pPr>
      <w:r>
        <w:t xml:space="preserve">To prevent evaluation bias: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Partition (80%):</w:t>
      </w:r>
      <w:r>
        <w:t xml:space="preserve"> </w:t>
      </w:r>
      <w:r>
        <w:t xml:space="preserve">102,692 packets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Held-Out Test Partition (20%):</w:t>
      </w:r>
      <w:r>
        <w:t xml:space="preserve"> </w:t>
      </w:r>
      <w:r>
        <w:t xml:space="preserve">25,674 packets (sealed until final benchmark)</w:t>
      </w:r>
      <w:r>
        <w:t xml:space="preserve"> </w:t>
      </w:r>
      <w:r>
        <w:t xml:space="preserve">- Both partitions follow stratified class balancing (</w:t>
      </w:r>
      <w:r>
        <w:rPr>
          <w:rStyle w:val="VerbatimChar"/>
        </w:rPr>
        <w:t xml:space="preserve">random_state=42</w:t>
      </w:r>
      <w:r>
        <w:t xml:space="preserve">).</w:t>
      </w:r>
    </w:p>
    <w:bookmarkEnd w:id="21"/>
    <w:bookmarkStart w:id="22" w:name="decision-tree-architecture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12. Decision Tree Architecture</w:t>
      </w:r>
    </w:p>
    <w:p>
      <w:pPr>
        <w:pStyle w:val="FirstParagraph"/>
      </w:pPr>
      <w:r>
        <w:t xml:space="preserve">The model is structured as a directed acyclic binary decision graph where each internal node evaluates an inequality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θ</m:t>
        </m:r>
      </m:oMath>
      <w:r>
        <w:t xml:space="preserve">, branching left or right until terminating at a classified leaf node.</w:t>
      </w:r>
    </w:p>
    <w:bookmarkEnd w:id="22"/>
    <w:bookmarkStart w:id="23" w:name="cart-decision-process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13. CART Decision Process</w:t>
      </w:r>
    </w:p>
    <w:p>
      <w:pPr>
        <w:pStyle w:val="FirstParagraph"/>
      </w:pPr>
      <w:r>
        <w:t xml:space="preserve">At each node, candidate splits across all 115 continuous features are evaluated to minimize Gini Impurity: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Gini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11</m:t>
              </m:r>
            </m:sup>
            <m:e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FirstParagraph"/>
      </w:pPr>
      <w:r>
        <w:t xml:space="preserve">Optimal splits maximize impurity reduction without requiring logarithmic calculations.</w:t>
      </w:r>
    </w:p>
    <w:bookmarkEnd w:id="23"/>
    <w:bookmarkStart w:id="24" w:name="baseline-model-execution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14. Baseline Model Execution</w:t>
      </w:r>
    </w:p>
    <w:p>
      <w:pPr>
        <w:pStyle w:val="FirstParagraph"/>
      </w:pPr>
      <w:r>
        <w:t xml:space="preserve">An unconstrained baseline decision tree was induced with</w:t>
      </w:r>
      <w:r>
        <w:t xml:space="preserve"> </w:t>
      </w:r>
      <m:oMath>
        <m:r>
          <m:t>c</m:t>
        </m:r>
        <m:r>
          <m:t>c</m:t>
        </m:r>
        <m:r>
          <m:t>p</m:t>
        </m:r>
        <m:r>
          <m:rPr>
            <m:sty m:val="p"/>
          </m:rPr>
          <m:t>_</m:t>
        </m:r>
        <m:r>
          <m:t>α</m:t>
        </m:r>
        <m:r>
          <m:rPr>
            <m:sty m:val="p"/>
          </m:rPr>
          <m:t>=</m:t>
        </m:r>
        <m:r>
          <m:t>0.0</m:t>
        </m:r>
      </m:oMath>
      <w:r>
        <w:t xml:space="preserve">:</w:t>
      </w:r>
      <w:r>
        <w:t xml:space="preserve"> </w:t>
      </w:r>
      <w:r>
        <w:t xml:space="preserve">- Tree Depth:</w:t>
      </w:r>
      <w:r>
        <w:t xml:space="preserve"> </w:t>
      </w:r>
      <w:r>
        <w:rPr>
          <w:b/>
          <w:bCs/>
        </w:rPr>
        <w:t xml:space="preserve">21 levels</w:t>
      </w:r>
      <w:r>
        <w:t xml:space="preserve"> </w:t>
      </w:r>
      <w:r>
        <w:t xml:space="preserve">- Total Nodes:</w:t>
      </w:r>
      <w:r>
        <w:t xml:space="preserve"> </w:t>
      </w:r>
      <w:r>
        <w:rPr>
          <w:b/>
          <w:bCs/>
        </w:rPr>
        <w:t xml:space="preserve">181 nodes</w:t>
      </w:r>
      <w:r>
        <w:t xml:space="preserve"> </w:t>
      </w:r>
      <w:r>
        <w:t xml:space="preserve">- Terminal Leaves:</w:t>
      </w:r>
      <w:r>
        <w:t xml:space="preserve"> </w:t>
      </w:r>
      <w:r>
        <w:rPr>
          <w:b/>
          <w:bCs/>
        </w:rPr>
        <w:t xml:space="preserve">91 leaves</w:t>
      </w:r>
      <w:r>
        <w:t xml:space="preserve"> </w:t>
      </w:r>
      <w:r>
        <w:t xml:space="preserve">- Train Accuracy:</w:t>
      </w:r>
      <w:r>
        <w:t xml:space="preserve"> </w:t>
      </w:r>
      <w:r>
        <w:rPr>
          <w:b/>
          <w:bCs/>
        </w:rPr>
        <w:t xml:space="preserve">99.7166%</w:t>
      </w:r>
      <w:r>
        <w:t xml:space="preserve"> </w:t>
      </w:r>
      <w:r>
        <w:t xml:space="preserve">| Test Accuracy:</w:t>
      </w:r>
      <w:r>
        <w:t xml:space="preserve"> </w:t>
      </w:r>
      <w:r>
        <w:rPr>
          <w:b/>
          <w:bCs/>
        </w:rPr>
        <w:t xml:space="preserve">99.6144%</w:t>
      </w:r>
      <w:r>
        <w:t xml:space="preserve"> </w:t>
      </w:r>
      <w:r>
        <w:t xml:space="preserve">- Generalization Gap:</w:t>
      </w:r>
      <w:r>
        <w:t xml:space="preserve"> </w:t>
      </w:r>
      <w:r>
        <w:rPr>
          <w:b/>
          <w:bCs/>
        </w:rPr>
        <w:t xml:space="preserve">0.1022%</w:t>
      </w:r>
    </w:p>
    <w:bookmarkEnd w:id="24"/>
    <w:bookmarkStart w:id="25" w:name="cost-complexity-pruning-ccp-alpha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15. Cost-Complexity Pruning (CCP-Alpha)</w:t>
      </w:r>
    </w:p>
    <w:p>
      <w:pPr>
        <w:pStyle w:val="FirstParagraph"/>
      </w:pPr>
      <w:r>
        <w:t xml:space="preserve">Minimal Cost-Complexity Pruning regularizes tree complexity using the objective: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Weakest-link subtrees are iteratively identified by calculating effective alpha: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T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bookmarkEnd w:id="25"/>
    <w:bookmarkStart w:id="26" w:name="hyperparameter-tuning-pipeline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16. Hyperparameter Tuning Pipeline</w:t>
      </w:r>
    </w:p>
    <w:p>
      <w:pPr>
        <w:pStyle w:val="FirstParagraph"/>
      </w:pPr>
      <w:r>
        <w:t xml:space="preserve">To eliminate test leakage, the 102,692-sample training set was internally split into:</w:t>
      </w:r>
      <w:r>
        <w:t xml:space="preserve"> </w:t>
      </w:r>
      <w:r>
        <w:t xml:space="preserve">- Internal Training Subset: 82,153 packets</w:t>
      </w:r>
      <w:r>
        <w:t xml:space="preserve"> </w:t>
      </w:r>
      <w:r>
        <w:t xml:space="preserve">- Internal Validation Subset: 20,539 packets</w:t>
      </w:r>
    </w:p>
    <w:p>
      <w:pPr>
        <w:pStyle w:val="BodyText"/>
      </w:pPr>
      <w:r>
        <w:t xml:space="preserve">60 candidate alphas were extracted along the pruning path. Evaluating 20 representative candidates identified</w:t>
      </w:r>
      <w:r>
        <w:t xml:space="preserve"> </w:t>
      </w:r>
      <w:r>
        <w:rPr>
          <w:b/>
          <w:bCs/>
        </w:rPr>
        <w:t xml:space="preserve">Candidate 2 with</w:t>
      </w:r>
      <w:r>
        <w:rPr>
          <w:b/>
          <w:bCs/>
        </w:rP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1.999753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, which achieved peak validation Macro F1 (</w:t>
      </w:r>
      <w:r>
        <w:rPr>
          <w:b/>
          <w:bCs/>
        </w:rPr>
        <w:t xml:space="preserve">99.7696%</w:t>
      </w:r>
      <w:r>
        <w:t xml:space="preserve">) while pruning 9 leaves.</w:t>
      </w:r>
    </w:p>
    <w:bookmarkEnd w:id="26"/>
    <w:bookmarkStart w:id="27" w:name="final-model-retraining-structure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17. Final Model Retraining &amp; Structure</w:t>
      </w:r>
    </w:p>
    <w:p>
      <w:pPr>
        <w:pStyle w:val="FirstParagraph"/>
      </w:pPr>
      <w:r>
        <w:t xml:space="preserve">Retraining on the full 102,692 training set with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yielded:</w:t>
      </w:r>
      <w:r>
        <w:t xml:space="preserve"> </w:t>
      </w:r>
      <w:r>
        <w:t xml:space="preserve">- Tree Depth:</w:t>
      </w:r>
      <w:r>
        <w:t xml:space="preserve"> </w:t>
      </w:r>
      <w:r>
        <w:rPr>
          <w:b/>
          <w:bCs/>
        </w:rPr>
        <w:t xml:space="preserve">18 levels</w:t>
      </w:r>
      <w:r>
        <w:t xml:space="preserve"> </w:t>
      </w:r>
      <w:r>
        <w:t xml:space="preserve">(-14.3%)</w:t>
      </w:r>
      <w:r>
        <w:t xml:space="preserve"> </w:t>
      </w:r>
      <w:r>
        <w:t xml:space="preserve">- Total Nodes:</w:t>
      </w:r>
      <w:r>
        <w:t xml:space="preserve"> </w:t>
      </w:r>
      <w:r>
        <w:rPr>
          <w:b/>
          <w:bCs/>
        </w:rPr>
        <w:t xml:space="preserve">133 nodes</w:t>
      </w:r>
      <w:r>
        <w:t xml:space="preserve"> </w:t>
      </w:r>
      <w:r>
        <w:t xml:space="preserve">(-26.5%)</w:t>
      </w:r>
      <w:r>
        <w:t xml:space="preserve"> </w:t>
      </w:r>
      <w:r>
        <w:t xml:space="preserve">- Terminal Leaves:</w:t>
      </w:r>
      <w:r>
        <w:t xml:space="preserve"> </w:t>
      </w:r>
      <w:r>
        <w:rPr>
          <w:b/>
          <w:bCs/>
        </w:rPr>
        <w:t xml:space="preserve">67 leaves</w:t>
      </w:r>
      <w:r>
        <w:t xml:space="preserve"> </w:t>
      </w:r>
      <w:r>
        <w:t xml:space="preserve">(-26.4%)</w:t>
      </w:r>
      <w:r>
        <w:t xml:space="preserve"> </w:t>
      </w:r>
      <w:r>
        <w:t xml:space="preserve">- Model Size:</w:t>
      </w:r>
      <w:r>
        <w:t xml:space="preserve"> </w:t>
      </w:r>
      <w:r>
        <w:rPr>
          <w:b/>
          <w:bCs/>
        </w:rPr>
        <w:t xml:space="preserve">5.44 KB</w:t>
      </w:r>
      <w:r>
        <w:t xml:space="preserve"> </w:t>
      </w:r>
      <w:r>
        <w:t xml:space="preserve">(-11.7%)</w:t>
      </w:r>
    </w:p>
    <w:bookmarkEnd w:id="27"/>
    <w:bookmarkStart w:id="28" w:name="prediction-pipeline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18. Prediction Pipeline</w:t>
      </w:r>
    </w:p>
    <w:p>
      <w:pPr>
        <w:pStyle w:val="FirstParagraph"/>
      </w:pPr>
      <w:r>
        <w:t xml:space="preserve">Inbound packet vectors traverse at most 18 scalar comparison nodes to generate an integer class label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</w:p>
    <w:bookmarkEnd w:id="28"/>
    <w:bookmarkStart w:id="29" w:name="evaluation-pipeline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19. Evaluation Pipeline</w:t>
      </w:r>
    </w:p>
    <w:p>
      <w:pPr>
        <w:pStyle w:val="FirstParagraph"/>
      </w:pPr>
      <w:r>
        <w:t xml:space="preserve">Computes multiclass Accuracy, Macro Precision, Macro Recall, Macro F1, Weighted F1, Binary Accuracy, Binary F1, and One-vs-Rest Macro ROC-AUC.</w:t>
      </w:r>
    </w:p>
    <w:bookmarkEnd w:id="29"/>
    <w:bookmarkStart w:id="30" w:name="standardized-tournament-evaluation"/>
    <w:p>
      <w:pPr>
        <w:pStyle w:val="Heading1"/>
      </w:pPr>
      <w:r>
        <w:rPr>
          <w:rStyle w:val="SectionNumber"/>
        </w:rPr>
        <w:t xml:space="preserve">21</w:t>
      </w:r>
      <w:r>
        <w:tab/>
      </w:r>
      <w:r>
        <w:t xml:space="preserve">20. Standardized Tournament Evaluation</w:t>
      </w:r>
    </w:p>
    <w:p>
      <w:pPr>
        <w:pStyle w:val="FirstParagraph"/>
      </w:pPr>
      <w:r>
        <w:t xml:space="preserve">Implements the exact evaluation function from Prof. Renuka Pawar’s notice (</w:t>
      </w:r>
      <w:r>
        <w:rPr>
          <w:rStyle w:val="VerbatimChar"/>
        </w:rPr>
        <w:t xml:space="preserve">evaluate_tournament_model</w:t>
      </w:r>
      <w:r>
        <w:t xml:space="preserve">), outputting standardized leaderboard parameters.</w:t>
      </w:r>
    </w:p>
    <w:bookmarkEnd w:id="30"/>
    <w:bookmarkStart w:id="31" w:name="computational-benchmarking-framework"/>
    <w:p>
      <w:pPr>
        <w:pStyle w:val="Heading1"/>
      </w:pPr>
      <w:r>
        <w:rPr>
          <w:rStyle w:val="SectionNumber"/>
        </w:rPr>
        <w:t xml:space="preserve">22</w:t>
      </w:r>
      <w:r>
        <w:tab/>
      </w:r>
      <w:r>
        <w:t xml:space="preserve">21. Computational Benchmarking Framework</w:t>
      </w:r>
    </w:p>
    <w:p>
      <w:pPr>
        <w:pStyle w:val="FirstParagraph"/>
      </w:pPr>
      <w:r>
        <w:t xml:space="preserve">Profiles CPU execution across variable batch sizes (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1000</m:t>
        </m:r>
        <m:r>
          <m:rPr>
            <m:sty m:val="p"/>
          </m:rPr>
          <m:t>,</m:t>
        </m:r>
        <m:r>
          <m:t>10000</m:t>
        </m:r>
        <m:r>
          <m:rPr>
            <m:sty m:val="p"/>
          </m:rPr>
          <m:t>,</m:t>
        </m:r>
        <m:r>
          <m:t>25674</m:t>
        </m:r>
        <m:r>
          <m:rPr>
            <m:sty m:val="p"/>
          </m:rPr>
          <m:t>}</m:t>
        </m:r>
      </m:oMath>
      <w:r>
        <w:t xml:space="preserve">) on single-core Apple Silicon hardware.</w:t>
      </w:r>
    </w:p>
    <w:bookmarkEnd w:id="31"/>
    <w:bookmarkStart w:id="32" w:name="training-time-measurement"/>
    <w:p>
      <w:pPr>
        <w:pStyle w:val="Heading1"/>
      </w:pPr>
      <w:r>
        <w:rPr>
          <w:rStyle w:val="SectionNumber"/>
        </w:rPr>
        <w:t xml:space="preserve">23</w:t>
      </w:r>
      <w:r>
        <w:tab/>
      </w:r>
      <w:r>
        <w:t xml:space="preserve">22. Training-Time Measurement</w:t>
      </w:r>
    </w:p>
    <w:p>
      <w:pPr>
        <w:pStyle w:val="FirstParagraph"/>
      </w:pPr>
      <w:r>
        <w:t xml:space="preserve">Full model training completes in</w:t>
      </w:r>
      <w:r>
        <w:t xml:space="preserve"> </w:t>
      </w:r>
      <w:r>
        <w:rPr>
          <w:b/>
          <w:bCs/>
        </w:rPr>
        <w:t xml:space="preserve">5.8563 seconds</w:t>
      </w:r>
      <w:r>
        <w:t xml:space="preserve"> </w:t>
      </w:r>
      <w:r>
        <w:t xml:space="preserve">(17,535 samples/s). One-time offline pruning path generation requires</w:t>
      </w:r>
      <w:r>
        <w:t xml:space="preserve"> </w:t>
      </w:r>
      <w:r>
        <w:rPr>
          <w:b/>
          <w:bCs/>
        </w:rPr>
        <w:t xml:space="preserve">4.18 seconds</w:t>
      </w:r>
      <w:r>
        <w:t xml:space="preserve">.</w:t>
      </w:r>
    </w:p>
    <w:bookmarkEnd w:id="32"/>
    <w:bookmarkStart w:id="33" w:name="inference-latency-measurement"/>
    <w:p>
      <w:pPr>
        <w:pStyle w:val="Heading1"/>
      </w:pPr>
      <w:r>
        <w:rPr>
          <w:rStyle w:val="SectionNumber"/>
        </w:rPr>
        <w:t xml:space="preserve">24</w:t>
      </w:r>
      <w:r>
        <w:tab/>
      </w:r>
      <w:r>
        <w:t xml:space="preserve">23. Inference-Latency Measurement</w:t>
      </w:r>
    </w:p>
    <w:p>
      <w:pPr>
        <w:pStyle w:val="Compact"/>
        <w:numPr>
          <w:ilvl w:val="0"/>
          <w:numId w:val="1002"/>
        </w:numPr>
      </w:pPr>
      <w:r>
        <w:t xml:space="preserve">Single-Packet Real-Time Latency:</w:t>
      </w:r>
      <w:r>
        <w:t xml:space="preserve"> </w:t>
      </w:r>
      <w:r>
        <w:rPr>
          <w:b/>
          <w:bCs/>
        </w:rPr>
        <w:t xml:space="preserve">34.41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s</w:t>
      </w:r>
      <w:r>
        <w:t xml:space="preserve"> </w:t>
      </w:r>
      <w:r>
        <w:t xml:space="preserve">(29,062 pkts/s).</w:t>
      </w:r>
    </w:p>
    <w:p>
      <w:pPr>
        <w:pStyle w:val="Compact"/>
        <w:numPr>
          <w:ilvl w:val="0"/>
          <w:numId w:val="1002"/>
        </w:numPr>
      </w:pPr>
      <w:r>
        <w:t xml:space="preserve">Batch Throughput:</w:t>
      </w:r>
      <w:r>
        <w:t xml:space="preserve"> </w:t>
      </w:r>
      <w:r>
        <w:rPr>
          <w:b/>
          <w:bCs/>
        </w:rPr>
        <w:t xml:space="preserve">12,036,209 packets/sec</w:t>
      </w:r>
      <w:r>
        <w:t xml:space="preserve"> </w:t>
      </w:r>
      <w:r>
        <w:t xml:space="preserve">(0.083</w:t>
      </w:r>
      <w:r>
        <w:t xml:space="preserve"> </w:t>
      </w:r>
      <m:oMath>
        <m:r>
          <m:t>μ</m:t>
        </m:r>
      </m:oMath>
      <w:r>
        <w:t xml:space="preserve">s per packet).</w:t>
      </w:r>
    </w:p>
    <w:bookmarkEnd w:id="33"/>
    <w:bookmarkStart w:id="34" w:name="confusion-matrix-generation"/>
    <w:p>
      <w:pPr>
        <w:pStyle w:val="Heading1"/>
      </w:pPr>
      <w:r>
        <w:rPr>
          <w:rStyle w:val="SectionNumber"/>
        </w:rPr>
        <w:t xml:space="preserve">25</w:t>
      </w:r>
      <w:r>
        <w:tab/>
      </w:r>
      <w:r>
        <w:t xml:space="preserve">24. Confusion Matrix Generation</w:t>
      </w:r>
    </w:p>
    <w:p>
      <w:pPr>
        <w:pStyle w:val="FirstParagraph"/>
      </w:pPr>
      <w:r>
        <w:t xml:space="preserve">On 25,674 test packets, the model correctly detects 23,650 of 23,653 attacks (only 3 misses), with only 6 false alarms out of 2,021 benign packets.</w:t>
      </w:r>
    </w:p>
    <w:bookmarkEnd w:id="34"/>
    <w:bookmarkStart w:id="35" w:name="feature-importance-analysis"/>
    <w:p>
      <w:pPr>
        <w:pStyle w:val="Heading1"/>
      </w:pPr>
      <w:r>
        <w:rPr>
          <w:rStyle w:val="SectionNumber"/>
        </w:rPr>
        <w:t xml:space="preserve">26</w:t>
      </w:r>
      <w:r>
        <w:tab/>
      </w:r>
      <w:r>
        <w:t xml:space="preserve">25. Feature Importance Analysis</w:t>
      </w:r>
    </w:p>
    <w:p>
      <w:pPr>
        <w:pStyle w:val="FirstParagraph"/>
      </w:pPr>
      <w:r>
        <w:t xml:space="preserve">Top 10 features account for 97.77% of decision weight: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H_L0.01_mean</w:t>
      </w:r>
      <w:r>
        <w:t xml:space="preserve"> </w:t>
      </w:r>
      <w:r>
        <w:t xml:space="preserve">(0.1811)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MI_dir_L0.01_mean</w:t>
      </w:r>
      <w:r>
        <w:t xml:space="preserve"> </w:t>
      </w:r>
      <w:r>
        <w:t xml:space="preserve">(0.1724)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HH_jit_L1_mean</w:t>
      </w:r>
      <w:r>
        <w:t xml:space="preserve"> </w:t>
      </w:r>
      <w:r>
        <w:t xml:space="preserve">(0.1701)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MI_dir_L0.01_weight</w:t>
      </w:r>
      <w:r>
        <w:t xml:space="preserve"> </w:t>
      </w:r>
      <w:r>
        <w:t xml:space="preserve">(0.1365)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MI_dir_L0.1_weight</w:t>
      </w:r>
      <w:r>
        <w:t xml:space="preserve"> </w:t>
      </w:r>
      <w:r>
        <w:t xml:space="preserve">(0.0865)</w:t>
      </w:r>
    </w:p>
    <w:bookmarkEnd w:id="35"/>
    <w:bookmarkStart w:id="39" w:name="system-architecture-diagram"/>
    <w:p>
      <w:pPr>
        <w:pStyle w:val="Heading1"/>
      </w:pPr>
      <w:r>
        <w:rPr>
          <w:rStyle w:val="SectionNumber"/>
        </w:rPr>
        <w:t xml:space="preserve">27</w:t>
      </w:r>
      <w:r>
        <w:tab/>
      </w:r>
      <w:r>
        <w:t xml:space="preserve">26. System Architecture Diagram</w:t>
      </w:r>
    </w:p>
    <w:p>
      <w:pPr>
        <w:pStyle w:val="CaptionedFigure"/>
      </w:pPr>
      <w:r>
        <w:drawing>
          <wp:inline>
            <wp:extent cx="5334000" cy="3185359"/>
            <wp:effectExtent b="0" l="0" r="0" t="0"/>
            <wp:docPr descr="System Architecture" title="" id="37" name="Picture"/>
            <a:graphic>
              <a:graphicData uri="http://schemas.openxmlformats.org/drawingml/2006/picture">
                <pic:pic>
                  <pic:nvPicPr>
                    <pic:cNvPr descr="results/figures/design_architectur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5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</w:t>
      </w:r>
    </w:p>
    <w:bookmarkEnd w:id="39"/>
    <w:bookmarkStart w:id="43" w:name="complete-workflow-diagram"/>
    <w:p>
      <w:pPr>
        <w:pStyle w:val="Heading1"/>
      </w:pPr>
      <w:r>
        <w:rPr>
          <w:rStyle w:val="SectionNumber"/>
        </w:rPr>
        <w:t xml:space="preserve">28</w:t>
      </w:r>
      <w:r>
        <w:tab/>
      </w:r>
      <w:r>
        <w:t xml:space="preserve">27. Complete Workflow Diagram</w:t>
      </w:r>
    </w:p>
    <w:p>
      <w:pPr>
        <w:pStyle w:val="CaptionedFigure"/>
      </w:pPr>
      <w:r>
        <w:drawing>
          <wp:inline>
            <wp:extent cx="5334000" cy="2648199"/>
            <wp:effectExtent b="0" l="0" r="0" t="0"/>
            <wp:docPr descr="Complete Workflow Diagram" title="" id="41" name="Picture"/>
            <a:graphic>
              <a:graphicData uri="http://schemas.openxmlformats.org/drawingml/2006/picture">
                <pic:pic>
                  <pic:nvPicPr>
                    <pic:cNvPr descr="results/figures/design_training_workflow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Complete Workflow Diagram</w:t>
      </w:r>
    </w:p>
    <w:bookmarkEnd w:id="43"/>
    <w:bookmarkStart w:id="47" w:name="data-flow-diagram-level-1-dfd"/>
    <w:p>
      <w:pPr>
        <w:pStyle w:val="Heading1"/>
      </w:pPr>
      <w:r>
        <w:rPr>
          <w:rStyle w:val="SectionNumber"/>
        </w:rPr>
        <w:t xml:space="preserve">29</w:t>
      </w:r>
      <w:r>
        <w:tab/>
      </w:r>
      <w:r>
        <w:t xml:space="preserve">28. Data-Flow Diagram (Level 1 DFD)</w:t>
      </w:r>
    </w:p>
    <w:p>
      <w:pPr>
        <w:pStyle w:val="CaptionedFigure"/>
      </w:pPr>
      <w:r>
        <w:drawing>
          <wp:inline>
            <wp:extent cx="5334000" cy="2689286"/>
            <wp:effectExtent b="0" l="0" r="0" t="0"/>
            <wp:docPr descr="Data Flow Diagram" title="" id="45" name="Picture"/>
            <a:graphic>
              <a:graphicData uri="http://schemas.openxmlformats.org/drawingml/2006/picture">
                <pic:pic>
                  <pic:nvPicPr>
                    <pic:cNvPr descr="results/figures/design_dfd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9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Flow Diagram</w:t>
      </w:r>
    </w:p>
    <w:bookmarkEnd w:id="47"/>
    <w:bookmarkStart w:id="51" w:name="model-pipeline-pruning-diagram"/>
    <w:p>
      <w:pPr>
        <w:pStyle w:val="Heading1"/>
      </w:pPr>
      <w:r>
        <w:rPr>
          <w:rStyle w:val="SectionNumber"/>
        </w:rPr>
        <w:t xml:space="preserve">30</w:t>
      </w:r>
      <w:r>
        <w:tab/>
      </w:r>
      <w:r>
        <w:t xml:space="preserve">29. Model Pipeline &amp; Pruning Diagram</w:t>
      </w:r>
    </w:p>
    <w:p>
      <w:pPr>
        <w:pStyle w:val="CaptionedFigure"/>
      </w:pPr>
      <w:r>
        <w:drawing>
          <wp:inline>
            <wp:extent cx="5334000" cy="2648199"/>
            <wp:effectExtent b="0" l="0" r="0" t="0"/>
            <wp:docPr descr="Pruning Workflow Diagram" title="" id="49" name="Picture"/>
            <a:graphic>
              <a:graphicData uri="http://schemas.openxmlformats.org/drawingml/2006/picture">
                <pic:pic>
                  <pic:nvPicPr>
                    <pic:cNvPr descr="results/figures/design_pruning_workflow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Pruning Workflow Diagram</w:t>
      </w:r>
    </w:p>
    <w:bookmarkEnd w:id="51"/>
    <w:bookmarkStart w:id="52" w:name="X642673a17766a22fa3aa2cd55c830cfeaf959bf"/>
    <w:p>
      <w:pPr>
        <w:pStyle w:val="Heading1"/>
      </w:pPr>
      <w:r>
        <w:rPr>
          <w:rStyle w:val="SectionNumber"/>
        </w:rPr>
        <w:t xml:space="preserve">31</w:t>
      </w:r>
      <w:r>
        <w:tab/>
      </w:r>
      <w:r>
        <w:t xml:space="preserve">30. Deployment Considerations for Resource-Constrained IoT Environments</w:t>
      </w:r>
    </w:p>
    <w:p>
      <w:pPr>
        <w:pStyle w:val="FirstParagraph"/>
      </w:pPr>
      <w:r>
        <w:t xml:space="preserve">With a 5.44 KB memory footprint and 34.41</w:t>
      </w:r>
      <w:r>
        <w:t xml:space="preserve"> </w:t>
      </w:r>
      <m:oMath>
        <m:r>
          <m:t>μ</m:t>
        </m:r>
      </m:oMath>
      <w:r>
        <w:t xml:space="preserve">s decision latency, the model can run directly within an OpenWrt Linux kernel netfilter module or user-space daemon on 128 MB RAM gateway routers, exceeding Gigabit Ethernet wire speed by 8x without requiring GPU hardware.</w:t>
      </w:r>
    </w:p>
    <w:bookmarkEnd w:id="52"/>
    <w:sectPr>
      <w:headerReference w:type="default" r:id="rId9"/>
      <w:footerReference w:type="default" r:id="rId10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7"/>
      </w:rPr>
      <w:t>Comprehensive System Architecture &amp; 30-Section Technical Design | Group 1 — Decision Tree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7"/>
      </w:rPr>
      <w:t>Sardar Patel Institute of Technology — CNS A.Y. 2026-27 | Group 1 System Design Document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44" Type="http://schemas.openxmlformats.org/officeDocument/2006/relationships/image" Target="media/rId44.png"/><Relationship Id="rId48" Type="http://schemas.openxmlformats.org/officeDocument/2006/relationships/image" Target="media/rId48.png"/><Relationship Id="rId40" Type="http://schemas.openxmlformats.org/officeDocument/2006/relationships/image" Target="media/rId40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2026-10-02T14:49:52Z</dcterms:created>
  <dcterms:modified xsi:type="dcterms:W3CDTF">2026-10-02T14:49:52Z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