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bdb85d2b47f99ba9022d3b6b17c67b74ee1e38"/>
    <w:p>
      <w:pPr>
        <w:pStyle w:val="Heading1"/>
      </w:pPr>
      <w:r>
        <w:rPr>
          <w:rStyle w:val="SectionNumber"/>
        </w:rPr>
        <w:t xml:space="preserve">1</w:t>
      </w:r>
      <w:r>
        <w:tab/>
      </w:r>
      <w:r>
        <w:t xml:space="preserve">CNS A.Y. 2026–27: Group 1 Technical Submission Report</w:t>
      </w:r>
    </w:p>
    <w:bookmarkStart w:id="22" w:name="Xa661ebd0b66b98c2a0ca2c3c8c56e83d40ddd78"/>
    <w:p>
      <w:pPr>
        <w:pStyle w:val="Heading2"/>
      </w:pPr>
      <w:r>
        <w:rPr>
          <w:rStyle w:val="SectionNumber"/>
        </w:rPr>
        <w:t xml:space="preserve">1.1</w:t>
      </w:r>
      <w:r>
        <w:tab/>
      </w:r>
      <w:r>
        <w:t xml:space="preserve">Lightweight IoT Botnet Attack Detection Using Cost-Complexity Pruned CART Decision Trees</w:t>
      </w:r>
    </w:p>
    <w:p>
      <w:pPr>
        <w:pStyle w:val="FirstParagraph"/>
      </w:pPr>
      <w:r>
        <w:rPr>
          <w:b/>
          <w:bCs/>
        </w:rPr>
        <w:t xml:space="preserve">Subject:</w:t>
      </w:r>
      <w:r>
        <w:t xml:space="preserve"> </w:t>
      </w:r>
      <w:r>
        <w:t xml:space="preserve">Cryptography and Network Security (CNS) |</w:t>
      </w:r>
      <w:r>
        <w:t xml:space="preserve"> </w:t>
      </w:r>
      <w:r>
        <w:rPr>
          <w:b/>
          <w:bCs/>
        </w:rPr>
        <w:t xml:space="preserve">Faculty:</w:t>
      </w:r>
      <w:r>
        <w:t xml:space="preserve"> </w:t>
      </w:r>
      <w:r>
        <w:t xml:space="preserve">Prof. Renuka Pawar</w:t>
      </w:r>
      <w:r>
        <w:br/>
      </w:r>
      <w:r>
        <w:rPr>
          <w:b/>
          <w:bCs/>
        </w:rPr>
        <w:t xml:space="preserve">Institution:</w:t>
      </w:r>
      <w:r>
        <w:t xml:space="preserve"> </w:t>
      </w:r>
      <w:r>
        <w:t xml:space="preserve">Sardar Patel Institute of Technology, Mumbai</w:t>
      </w:r>
      <w:r>
        <w:br/>
      </w:r>
      <w:r>
        <w:rPr>
          <w:b/>
          <w:bCs/>
        </w:rPr>
        <w:t xml:space="preserve">Group:</w:t>
      </w:r>
      <w:r>
        <w:t xml:space="preserve"> </w:t>
      </w:r>
      <w:r>
        <w:t xml:space="preserve">Group 1 — Decision Tree</w:t>
      </w:r>
      <w:r>
        <w:br/>
      </w:r>
      <w:r>
        <w:rPr>
          <w:b/>
          <w:bCs/>
        </w:rPr>
        <w:t xml:space="preserve">Assigned Research Topic:</w:t>
      </w:r>
      <w:r>
        <w:t xml:space="preserve"> </w:t>
      </w:r>
      <w:r>
        <w:t xml:space="preserve">Lightweight Android and IoT Botnet Detection Using C4.5 Decision Trees</w:t>
      </w:r>
      <w:r>
        <w:br/>
      </w:r>
      <w:r>
        <w:rPr>
          <w:b/>
          <w:bCs/>
        </w:rPr>
        <w:t xml:space="preserve">Actual Implementation:</w:t>
      </w:r>
      <w:r>
        <w:t xml:space="preserve"> </w:t>
      </w:r>
      <w:r>
        <w:t xml:space="preserve">CART Decision Tree (</w:t>
      </w:r>
      <w:r>
        <w:rPr>
          <w:rStyle w:val="VerbatimChar"/>
        </w:rPr>
        <w:t xml:space="preserve">sklearn.tree.DecisionTreeClassifier</w:t>
      </w:r>
      <w:r>
        <w:t xml:space="preserve">)</w:t>
      </w:r>
      <w:r>
        <w:br/>
      </w:r>
      <w:r>
        <w:rPr>
          <w:b/>
          <w:bCs/>
        </w:rPr>
        <w:t xml:space="preserve">Regularization:</w:t>
      </w:r>
      <w:r>
        <w:t xml:space="preserve"> </w:t>
      </w:r>
      <w:r>
        <w:t xml:space="preserve">Minimal Cost-Complexity Pruning (</w:t>
      </w:r>
      <m:oMath>
        <m:r>
          <m:t>c</m:t>
        </m:r>
        <m:r>
          <m:t>c</m:t>
        </m:r>
        <m:r>
          <m:t>p</m:t>
        </m:r>
        <m:r>
          <m:rPr>
            <m:sty m:val="p"/>
          </m:rPr>
          <m:t>_</m:t>
        </m:r>
        <m:r>
          <m:t>α</m:t>
        </m:r>
        <m:r>
          <m:rPr>
            <m:sty m:val="p"/>
          </m:rPr>
          <m:t>=</m:t>
        </m:r>
        <m:r>
          <m:t>1.999753</m:t>
        </m:r>
        <m:r>
          <m:rPr>
            <m:sty m:val="p"/>
          </m:rPr>
          <m:t>×</m:t>
        </m:r>
        <m:sSup>
          <m:e>
            <m:r>
              <m:t>10</m:t>
            </m:r>
          </m:e>
          <m:sup>
            <m:r>
              <m:rPr>
                <m:sty m:val="p"/>
              </m:rPr>
              <m:t>−</m:t>
            </m:r>
            <m:r>
              <m:t>5</m:t>
            </m:r>
          </m:sup>
        </m:sSup>
      </m:oMath>
      <w:r>
        <w:t xml:space="preserve">)</w:t>
      </w:r>
    </w:p>
    <w:p>
      <w:r>
        <w:pict>
          <v:rect style="width:0;height:1.5pt" o:hralign="center" o:hrstd="t" o:hr="t"/>
        </w:pict>
      </w:r>
    </w:p>
    <w:bookmarkStart w:id="9" w:name="abstract"/>
    <w:p>
      <w:pPr>
        <w:pStyle w:val="Heading3"/>
      </w:pPr>
      <w:r>
        <w:rPr>
          <w:rStyle w:val="SectionNumber"/>
        </w:rPr>
        <w:t xml:space="preserve">1.1.1</w:t>
      </w:r>
      <w:r>
        <w:tab/>
      </w:r>
      <w:r>
        <w:t xml:space="preserve">Abstract</w:t>
      </w:r>
    </w:p>
    <w:p>
      <w:pPr>
        <w:pStyle w:val="FirstParagraph"/>
      </w:pPr>
      <w:r>
        <w:t xml:space="preserve">Internet of Things (IoT) devices deployed in residential and industrial environments frequently lack defensive software, rendering them prime targets for autonomous botnet infection by Mirai and BASHLITE malware. This investigation evaluates an optimized, cost-complexity pruned CART decision tree for multi-vector IoT botnet detection on the benchmark N-BaIoT dataset (115 continuous features, 11 traffic categories). Evaluated across 25,674 held-out test packets, the final pruned model achieves a multiclass accuracy of</w:t>
      </w:r>
      <w:r>
        <w:t xml:space="preserve"> </w:t>
      </w:r>
      <w:r>
        <w:rPr>
          <w:b/>
          <w:bCs/>
        </w:rPr>
        <w:t xml:space="preserve">99.6183%</w:t>
      </w:r>
      <w:r>
        <w:t xml:space="preserve">, a macro F1-score of</w:t>
      </w:r>
      <w:r>
        <w:t xml:space="preserve"> </w:t>
      </w:r>
      <w:r>
        <w:rPr>
          <w:b/>
          <w:bCs/>
        </w:rPr>
        <w:t xml:space="preserve">99.6510%</w:t>
      </w:r>
      <w:r>
        <w:t xml:space="preserve">, and a binary botnet detection accuracy of</w:t>
      </w:r>
      <w:r>
        <w:t xml:space="preserve"> </w:t>
      </w:r>
      <w:r>
        <w:rPr>
          <w:b/>
          <w:bCs/>
        </w:rPr>
        <w:t xml:space="preserve">99.9649%</w:t>
      </w:r>
      <w:r>
        <w:t xml:space="preserve"> </w:t>
      </w:r>
      <w:r>
        <w:t xml:space="preserve">(F1-score:</w:t>
      </w:r>
      <w:r>
        <w:t xml:space="preserve"> </w:t>
      </w:r>
      <w:r>
        <w:rPr>
          <w:b/>
          <w:bCs/>
        </w:rPr>
        <w:t xml:space="preserve">99.9810%</w:t>
      </w:r>
      <w:r>
        <w:t xml:space="preserve">). By tuning</w:t>
      </w:r>
      <w:r>
        <w:t xml:space="preserve"> </w:t>
      </w:r>
      <m:oMath>
        <m:r>
          <m:t>c</m:t>
        </m:r>
        <m:r>
          <m:t>c</m:t>
        </m:r>
        <m:r>
          <m:t>p</m:t>
        </m:r>
        <m:r>
          <m:rPr>
            <m:sty m:val="p"/>
          </m:rPr>
          <m:t>_</m:t>
        </m:r>
        <m:r>
          <m:t>α</m:t>
        </m:r>
      </m:oMath>
      <w:r>
        <w:t xml:space="preserve"> </w:t>
      </w:r>
      <w:r>
        <w:t xml:space="preserve">to</w:t>
      </w:r>
      <w:r>
        <w:t xml:space="preserve"> </w:t>
      </w:r>
      <m:oMath>
        <m:r>
          <m:t>1.999753</m:t>
        </m:r>
        <m:r>
          <m:rPr>
            <m:sty m:val="p"/>
          </m:rPr>
          <m:t>×</m:t>
        </m:r>
        <m:sSup>
          <m:e>
            <m:r>
              <m:t>10</m:t>
            </m:r>
          </m:e>
          <m:sup>
            <m:r>
              <m:rPr>
                <m:sty m:val="p"/>
              </m:rPr>
              <m:t>−</m:t>
            </m:r>
            <m:r>
              <m:t>5</m:t>
            </m:r>
          </m:sup>
        </m:sSup>
      </m:oMath>
      <w:r>
        <w:t xml:space="preserve"> </w:t>
      </w:r>
      <w:r>
        <w:t xml:space="preserve">via an internal validation partition, tree depth was reduced from 21 to 18 levels (-14.3%) and total node count was reduced from 181 to 133 (-26.5%), shrinking the train-test generalization gap from 0.1022% to 0.0769% (-24.8% overfitting). The model serialized footprint is</w:t>
      </w:r>
      <w:r>
        <w:t xml:space="preserve"> </w:t>
      </w:r>
      <w:r>
        <w:rPr>
          <w:b/>
          <w:bCs/>
        </w:rPr>
        <w:t xml:space="preserve">5.44 KB</w:t>
      </w:r>
      <w:r>
        <w:t xml:space="preserve">, with a single-packet latency of</w:t>
      </w:r>
      <w:r>
        <w:t xml:space="preserve"> </w:t>
      </w:r>
      <w:r>
        <w:rPr>
          <w:b/>
          <w:bCs/>
        </w:rPr>
        <w:t xml:space="preserve">34.41</w:t>
      </w:r>
      <w:r>
        <w:rPr>
          <w:b/>
          <w:bCs/>
        </w:rPr>
        <w:t xml:space="preserve"> </w:t>
      </w:r>
      <m:oMath>
        <m:r>
          <m:t>μ</m:t>
        </m:r>
      </m:oMath>
      <w:r>
        <w:rPr>
          <w:b/>
          <w:bCs/>
        </w:rPr>
        <w:t xml:space="preserve">s</w:t>
      </w:r>
      <w:r>
        <w:t xml:space="preserve"> </w:t>
      </w:r>
      <w:r>
        <w:t xml:space="preserve">and a batch processing throughput of</w:t>
      </w:r>
      <w:r>
        <w:t xml:space="preserve"> </w:t>
      </w:r>
      <w:r>
        <w:rPr>
          <w:b/>
          <w:bCs/>
        </w:rPr>
        <w:t xml:space="preserve">12,036,209 packets/sec</w:t>
      </w:r>
      <w:r>
        <w:t xml:space="preserve">, demonstrating line-rate suitability for embedded edge gateways.</w:t>
      </w:r>
    </w:p>
    <w:p>
      <w:r>
        <w:pict>
          <v:rect style="width:0;height:1.5pt" o:hralign="center" o:hrstd="t" o:hr="t"/>
        </w:pict>
      </w:r>
    </w:p>
    <w:bookmarkEnd w:id="9"/>
    <w:bookmarkStart w:id="10" w:name="problem-statement-motivation"/>
    <w:p>
      <w:pPr>
        <w:pStyle w:val="Heading3"/>
      </w:pPr>
      <w:r>
        <w:rPr>
          <w:rStyle w:val="SectionNumber"/>
        </w:rPr>
        <w:t xml:space="preserve">1.1.2</w:t>
      </w:r>
      <w:r>
        <w:tab/>
      </w:r>
      <w:r>
        <w:t xml:space="preserve">1. Problem Statement &amp; Motivation</w:t>
      </w:r>
    </w:p>
    <w:p>
      <w:pPr>
        <w:pStyle w:val="FirstParagraph"/>
      </w:pPr>
      <w:r>
        <w:t xml:space="preserve">IoT appliances (e.g., surveillance cameras, smart doorbells, thermostats) operate under strict hardware budgets (128–512 MB RAM, sub-1 GHz CPUs). Deep neural networks and ensemble methods impose significant memory footprints and floating-point multiply-accumulate overheads that exhaust edge hardware. A decision tree provides an optimal alternative by mapping packet features through a bounded hierarchy of scalar comparisons, enabling microsecond execution and white-box auditability.</w:t>
      </w:r>
    </w:p>
    <w:p>
      <w:r>
        <w:pict>
          <v:rect style="width:0;height:1.5pt" o:hralign="center" o:hrstd="t" o:hr="t"/>
        </w:pict>
      </w:r>
    </w:p>
    <w:bookmarkEnd w:id="10"/>
    <w:bookmarkStart w:id="11" w:name="dataset-description-preprocessing"/>
    <w:p>
      <w:pPr>
        <w:pStyle w:val="Heading3"/>
      </w:pPr>
      <w:r>
        <w:rPr>
          <w:rStyle w:val="SectionNumber"/>
        </w:rPr>
        <w:t xml:space="preserve">1.1.3</w:t>
      </w:r>
      <w:r>
        <w:tab/>
      </w:r>
      <w:r>
        <w:t xml:space="preserve">2. Dataset Description &amp; Preprocessing</w:t>
      </w:r>
    </w:p>
    <w:p>
      <w:pPr>
        <w:pStyle w:val="FirstParagraph"/>
      </w:pPr>
      <w:r>
        <w:t xml:space="preserve">The N-BaIoT benchmark comprises network telemetry collected from 9 physical commercial IoT devices infected with Mirai and BASHLITE (Gafgyt) malware across 89 raw CSV files (7,062,606 packets).</w:t>
      </w:r>
    </w:p>
    <w:p>
      <w:pPr>
        <w:pStyle w:val="Compact"/>
        <w:numPr>
          <w:ilvl w:val="0"/>
          <w:numId w:val="1001"/>
        </w:numPr>
      </w:pPr>
      <w:r>
        <w:rPr>
          <w:b/>
          <w:bCs/>
        </w:rPr>
        <w:t xml:space="preserve">Deterministic Systematic Sampling:</w:t>
      </w:r>
      <w:r>
        <w:t xml:space="preserve"> </w:t>
      </w:r>
      <w:r>
        <w:t xml:space="preserve">Applying a fixed step of</w:t>
      </w:r>
      <w:r>
        <w:t xml:space="preserve"> </w:t>
      </w:r>
      <m:oMath>
        <m:r>
          <m:t>k</m:t>
        </m:r>
        <m:r>
          <m:rPr>
            <m:sty m:val="p"/>
          </m:rPr>
          <m:t>=</m:t>
        </m:r>
        <m:r>
          <m:t>55</m:t>
        </m:r>
      </m:oMath>
      <w:r>
        <w:t xml:space="preserve"> </w:t>
      </w:r>
      <w:r>
        <w:t xml:space="preserve">yielded</w:t>
      </w:r>
      <w:r>
        <w:t xml:space="preserve"> </w:t>
      </w:r>
      <w:r>
        <w:rPr>
          <w:b/>
          <w:bCs/>
        </w:rPr>
        <w:t xml:space="preserve">128,366 packets</w:t>
      </w:r>
      <w:r>
        <w:t xml:space="preserve">, preserving class and device representation.</w:t>
      </w:r>
    </w:p>
    <w:p>
      <w:pPr>
        <w:pStyle w:val="Compact"/>
        <w:numPr>
          <w:ilvl w:val="0"/>
          <w:numId w:val="1001"/>
        </w:numPr>
      </w:pPr>
      <w:r>
        <w:rPr>
          <w:b/>
          <w:bCs/>
        </w:rPr>
        <w:t xml:space="preserve">Traffic Taxonomy (11 Classes):</w:t>
      </w:r>
      <w:r>
        <w:t xml:space="preserve"> </w:t>
      </w:r>
      <w:r>
        <w:t xml:space="preserve">1 benign baseline, 5 BASHLITE vectors (</w:t>
      </w:r>
      <w:r>
        <w:rPr>
          <w:rStyle w:val="VerbatimChar"/>
        </w:rPr>
        <w:t xml:space="preserve">combo</w:t>
      </w:r>
      <w:r>
        <w:t xml:space="preserve">,</w:t>
      </w:r>
      <w:r>
        <w:t xml:space="preserve"> </w:t>
      </w:r>
      <w:r>
        <w:rPr>
          <w:rStyle w:val="VerbatimChar"/>
        </w:rPr>
        <w:t xml:space="preserve">junk</w:t>
      </w:r>
      <w:r>
        <w:t xml:space="preserve">,</w:t>
      </w:r>
      <w:r>
        <w:t xml:space="preserve"> </w:t>
      </w:r>
      <w:r>
        <w:rPr>
          <w:rStyle w:val="VerbatimChar"/>
        </w:rPr>
        <w:t xml:space="preserve">scan</w:t>
      </w:r>
      <w:r>
        <w:t xml:space="preserve">,</w:t>
      </w:r>
      <w:r>
        <w:t xml:space="preserve"> </w:t>
      </w:r>
      <w:r>
        <w:rPr>
          <w:rStyle w:val="VerbatimChar"/>
        </w:rPr>
        <w:t xml:space="preserve">tcp</w:t>
      </w:r>
      <w:r>
        <w:t xml:space="preserve">,</w:t>
      </w:r>
      <w:r>
        <w:t xml:space="preserve"> </w:t>
      </w:r>
      <w:r>
        <w:rPr>
          <w:rStyle w:val="VerbatimChar"/>
        </w:rPr>
        <w:t xml:space="preserve">udp</w:t>
      </w:r>
      <w:r>
        <w:t xml:space="preserve">), and 5 Mirai vectors (</w:t>
      </w:r>
      <w:r>
        <w:rPr>
          <w:rStyle w:val="VerbatimChar"/>
        </w:rPr>
        <w:t xml:space="preserve">ack</w:t>
      </w:r>
      <w:r>
        <w:t xml:space="preserve">,</w:t>
      </w:r>
      <w:r>
        <w:t xml:space="preserve"> </w:t>
      </w:r>
      <w:r>
        <w:rPr>
          <w:rStyle w:val="VerbatimChar"/>
        </w:rPr>
        <w:t xml:space="preserve">scan</w:t>
      </w:r>
      <w:r>
        <w:t xml:space="preserve">,</w:t>
      </w:r>
      <w:r>
        <w:t xml:space="preserve"> </w:t>
      </w:r>
      <w:r>
        <w:rPr>
          <w:rStyle w:val="VerbatimChar"/>
        </w:rPr>
        <w:t xml:space="preserve">syn</w:t>
      </w:r>
      <w:r>
        <w:t xml:space="preserve">,</w:t>
      </w:r>
      <w:r>
        <w:t xml:space="preserve"> </w:t>
      </w:r>
      <w:r>
        <w:rPr>
          <w:rStyle w:val="VerbatimChar"/>
        </w:rPr>
        <w:t xml:space="preserve">udp</w:t>
      </w:r>
      <w:r>
        <w:t xml:space="preserve">,</w:t>
      </w:r>
      <w:r>
        <w:t xml:space="preserve"> </w:t>
      </w:r>
      <w:r>
        <w:rPr>
          <w:rStyle w:val="VerbatimChar"/>
        </w:rPr>
        <w:t xml:space="preserve">udpplain</w:t>
      </w:r>
      <w:r>
        <w:t xml:space="preserve">).</w:t>
      </w:r>
    </w:p>
    <w:p>
      <w:pPr>
        <w:pStyle w:val="Compact"/>
        <w:numPr>
          <w:ilvl w:val="0"/>
          <w:numId w:val="1001"/>
        </w:numPr>
      </w:pPr>
      <w:r>
        <w:rPr>
          <w:b/>
          <w:bCs/>
        </w:rPr>
        <w:t xml:space="preserve">Feature Space:</w:t>
      </w:r>
      <w:r>
        <w:t xml:space="preserve"> </w:t>
      </w:r>
      <w:r>
        <w:t xml:space="preserve">115 continuous statistics extracted via damped running windows across 5 decay factors (</w:t>
      </w:r>
      <m:oMath>
        <m:r>
          <m:t>λ</m:t>
        </m:r>
        <m:r>
          <m:rPr>
            <m:sty m:val="p"/>
          </m:rPr>
          <m:t>∈</m:t>
        </m:r>
        <m:r>
          <m:rPr>
            <m:sty m:val="p"/>
          </m:rPr>
          <m:t>{</m:t>
        </m:r>
        <m:r>
          <m:t>0.01</m:t>
        </m:r>
        <m:r>
          <m:rPr>
            <m:sty m:val="p"/>
          </m:rPr>
          <m:t>,</m:t>
        </m:r>
        <m:r>
          <m:t>0.1</m:t>
        </m:r>
        <m:r>
          <m:rPr>
            <m:sty m:val="p"/>
          </m:rPr>
          <m:t>,</m:t>
        </m:r>
        <m:r>
          <m:t>1</m:t>
        </m:r>
        <m:r>
          <m:rPr>
            <m:sty m:val="p"/>
          </m:rPr>
          <m:t>,</m:t>
        </m:r>
        <m:r>
          <m:t>3</m:t>
        </m:r>
        <m:r>
          <m:rPr>
            <m:sty m:val="p"/>
          </m:rPr>
          <m:t>,</m:t>
        </m:r>
        <m:r>
          <m:t>5</m:t>
        </m:r>
        <m:r>
          <m:rPr>
            <m:sty m:val="p"/>
          </m:rPr>
          <m:t>}</m:t>
        </m:r>
      </m:oMath>
      <w:r>
        <w:t xml:space="preserve">) and 4 traffic scopes: Host (H), Host-to-Host (HH), Jitter (HH_jit), and Sockets (HpHp).</w:t>
      </w:r>
    </w:p>
    <w:p>
      <w:pPr>
        <w:pStyle w:val="Compact"/>
        <w:numPr>
          <w:ilvl w:val="0"/>
          <w:numId w:val="1001"/>
        </w:numPr>
      </w:pPr>
      <w:r>
        <w:rPr>
          <w:b/>
          <w:bCs/>
        </w:rPr>
        <w:t xml:space="preserve">Transport Port Dynamics:</w:t>
      </w:r>
      <w:r>
        <w:t xml:space="preserve"> </w:t>
      </w:r>
      <w:r>
        <w:t xml:space="preserve">Discrete port numbers are absent; transport interactions are captured via continuous</w:t>
      </w:r>
      <w:r>
        <w:t xml:space="preserve"> </w:t>
      </w:r>
      <w:r>
        <w:rPr>
          <w:rStyle w:val="VerbatimChar"/>
        </w:rPr>
        <w:t xml:space="preserve">HpHp_*</w:t>
      </w:r>
      <w:r>
        <w:t xml:space="preserve"> </w:t>
      </w:r>
      <w:r>
        <w:t xml:space="preserve">socket aggregates.</w:t>
      </w:r>
    </w:p>
    <w:p>
      <w:pPr>
        <w:pStyle w:val="Compact"/>
        <w:numPr>
          <w:ilvl w:val="0"/>
          <w:numId w:val="1001"/>
        </w:numPr>
      </w:pPr>
      <w:r>
        <w:rPr>
          <w:b/>
          <w:bCs/>
        </w:rPr>
        <w:t xml:space="preserve">Hygiene:</w:t>
      </w:r>
      <w:r>
        <w:t xml:space="preserve"> </w:t>
      </w:r>
      <w:r>
        <w:t xml:space="preserve">0 missing values, 0 infinite values.</w:t>
      </w:r>
    </w:p>
    <w:p>
      <w:r>
        <w:pict>
          <v:rect style="width:0;height:1.5pt" o:hralign="center" o:hrstd="t" o:hr="t"/>
        </w:pict>
      </w:r>
    </w:p>
    <w:bookmarkEnd w:id="11"/>
    <w:bookmarkStart w:id="12" w:name="algorithmic-background-cart-vs.-c4.5"/>
    <w:p>
      <w:pPr>
        <w:pStyle w:val="Heading3"/>
      </w:pPr>
      <w:r>
        <w:rPr>
          <w:rStyle w:val="SectionNumber"/>
        </w:rPr>
        <w:t xml:space="preserve">1.1.4</w:t>
      </w:r>
      <w:r>
        <w:tab/>
      </w:r>
      <w:r>
        <w:t xml:space="preserve">3. Algorithmic Background &amp; CART vs. C4.5</w:t>
      </w:r>
    </w:p>
    <w:p>
      <w:pPr>
        <w:pStyle w:val="FirstParagraph"/>
      </w:pPr>
      <w:r>
        <w:t xml:space="preserve">While the assigned topic specifies C4.5, our actual software implementation uses Python’s</w:t>
      </w:r>
      <w:r>
        <w:t xml:space="preserve"> </w:t>
      </w:r>
      <w:r>
        <w:rPr>
          <w:rStyle w:val="VerbatimChar"/>
        </w:rPr>
        <w:t xml:space="preserve">sklearn.tree.DecisionTreeClassifier</w:t>
      </w:r>
      <w:r>
        <w:t xml:space="preserve">, which implements an optimized version of the Classification and Regression Trees (CART) algorithm:</w:t>
      </w:r>
      <w:r>
        <w:t xml:space="preserve"> </w:t>
      </w:r>
      <w:r>
        <w:t xml:space="preserve">-</w:t>
      </w:r>
      <w:r>
        <w:t xml:space="preserve"> </w:t>
      </w:r>
      <w:r>
        <w:rPr>
          <w:b/>
          <w:bCs/>
        </w:rPr>
        <w:t xml:space="preserve">Splitting Criterion:</w:t>
      </w:r>
      <w:r>
        <w:t xml:space="preserve"> </w:t>
      </w:r>
      <w:r>
        <w:t xml:space="preserve">CART evaluates Gini Impurity (</w:t>
      </w:r>
      <m:oMath>
        <m:r>
          <m:rPr>
            <m:nor/>
            <m:sty m:val="p"/>
          </m:rPr>
          <m:t>Gini</m:t>
        </m:r>
        <m:r>
          <m:rPr>
            <m:sty m:val="p"/>
          </m:rPr>
          <m:t>(</m:t>
        </m:r>
        <m:r>
          <m:t>t</m:t>
        </m:r>
        <m:r>
          <m:rPr>
            <m:sty m:val="p"/>
          </m:rPr>
          <m:t>)</m:t>
        </m:r>
        <m:r>
          <m:rPr>
            <m:sty m:val="p"/>
          </m:rPr>
          <m:t>=</m:t>
        </m:r>
        <m:r>
          <m:t>1</m:t>
        </m:r>
        <m:r>
          <m:rPr>
            <m:sty m:val="p"/>
          </m:rPr>
          <m:t>−</m:t>
        </m:r>
        <m:r>
          <m:rPr>
            <m:sty m:val="p"/>
          </m:rPr>
          <m:t>∑</m:t>
        </m:r>
        <m:sSubSup>
          <m:e>
            <m:r>
              <m:t>p</m:t>
            </m:r>
          </m:e>
          <m:sub>
            <m:r>
              <m:t>i</m:t>
            </m:r>
          </m:sub>
          <m:sup>
            <m:r>
              <m:t>2</m:t>
            </m:r>
          </m:sup>
        </m:sSubSup>
      </m:oMath>
      <w:r>
        <w:t xml:space="preserve">), avoiding logarithmic transformations.</w:t>
      </w:r>
      <w:r>
        <w:t xml:space="preserve"> </w:t>
      </w:r>
      <w:r>
        <w:t xml:space="preserve">-</w:t>
      </w:r>
      <w:r>
        <w:t xml:space="preserve"> </w:t>
      </w:r>
      <w:r>
        <w:rPr>
          <w:b/>
          <w:bCs/>
        </w:rPr>
        <w:t xml:space="preserve">Tree Topology:</w:t>
      </w:r>
      <w:r>
        <w:t xml:space="preserve"> </w:t>
      </w:r>
      <w:r>
        <w:t xml:space="preserve">Strictly binary recursive splitting (</w:t>
      </w:r>
      <m:oMath>
        <m:sSub>
          <m:e>
            <m:r>
              <m:t>x</m:t>
            </m:r>
          </m:e>
          <m:sub>
            <m:r>
              <m:t>j</m:t>
            </m:r>
          </m:sub>
        </m:sSub>
        <m:r>
          <m:rPr>
            <m:sty m:val="p"/>
          </m:rPr>
          <m:t>≤</m:t>
        </m:r>
        <m:r>
          <m:t>θ</m:t>
        </m:r>
      </m:oMath>
      <w:r>
        <w:t xml:space="preserve">).</w:t>
      </w:r>
      <w:r>
        <w:t xml:space="preserve"> </w:t>
      </w:r>
      <w:r>
        <w:t xml:space="preserve">-</w:t>
      </w:r>
      <w:r>
        <w:t xml:space="preserve"> </w:t>
      </w:r>
      <w:r>
        <w:rPr>
          <w:b/>
          <w:bCs/>
        </w:rPr>
        <w:t xml:space="preserve">Regularization:</w:t>
      </w:r>
      <w:r>
        <w:t xml:space="preserve"> </w:t>
      </w:r>
      <w:r>
        <w:t xml:space="preserve">Minimal Cost-Complexity Pruning (</w:t>
      </w:r>
      <m:oMath>
        <m:sSub>
          <m:e>
            <m:r>
              <m:t>R</m:t>
            </m:r>
          </m:e>
          <m:sub>
            <m:r>
              <m:t>α</m:t>
            </m:r>
          </m:sub>
        </m:sSub>
        <m:r>
          <m:rPr>
            <m:sty m:val="p"/>
          </m:rPr>
          <m:t>(</m:t>
        </m:r>
        <m:r>
          <m:t>T</m:t>
        </m:r>
        <m:r>
          <m:rPr>
            <m:sty m:val="p"/>
          </m:rPr>
          <m:t>)</m:t>
        </m:r>
        <m:r>
          <m:rPr>
            <m:sty m:val="p"/>
          </m:rPr>
          <m:t>=</m:t>
        </m:r>
        <m:r>
          <m:t>R</m:t>
        </m:r>
        <m:r>
          <m:rPr>
            <m:sty m:val="p"/>
          </m:rPr>
          <m:t>(</m:t>
        </m:r>
        <m:r>
          <m:t>T</m:t>
        </m:r>
        <m:r>
          <m:rPr>
            <m:sty m:val="p"/>
          </m:rPr>
          <m:t>)</m:t>
        </m:r>
        <m:r>
          <m:rPr>
            <m:sty m:val="p"/>
          </m:rPr>
          <m:t>+</m:t>
        </m:r>
        <m:r>
          <m:t>α</m:t>
        </m:r>
        <m:r>
          <m:rPr>
            <m:sty m:val="p"/>
          </m:rPr>
          <m:t>|</m:t>
        </m:r>
        <m:r>
          <m:t>T</m:t>
        </m:r>
        <m:r>
          <m:rPr>
            <m:sty m:val="p"/>
          </m:rPr>
          <m:t>|</m:t>
        </m:r>
      </m:oMath>
      <w:r>
        <w:t xml:space="preserve">).</w:t>
      </w:r>
    </w:p>
    <w:p>
      <w:r>
        <w:pict>
          <v:rect style="width:0;height:1.5pt" o:hralign="center" o:hrstd="t" o:hr="t"/>
        </w:pict>
      </w:r>
    </w:p>
    <w:bookmarkEnd w:id="12"/>
    <w:bookmarkStart w:id="13" w:name="X840e7a6ca614693e94438cb444f92b36c209eba"/>
    <w:p>
      <w:pPr>
        <w:pStyle w:val="Heading3"/>
      </w:pPr>
      <w:r>
        <w:rPr>
          <w:rStyle w:val="SectionNumber"/>
        </w:rPr>
        <w:t xml:space="preserve">1.1.5</w:t>
      </w:r>
      <w:r>
        <w:tab/>
      </w:r>
      <w:r>
        <w:t xml:space="preserve">4. Cost-Complexity Pruning &amp; Optimization Methodology</w:t>
      </w:r>
    </w:p>
    <w:p>
      <w:pPr>
        <w:pStyle w:val="FirstParagraph"/>
      </w:pPr>
      <w:r>
        <w:t xml:space="preserve">Unpruned trees overfit flow fluctuations. Breiman’s weakest-link pruning defines the effective threshold for collapsing subtree</w:t>
      </w:r>
      <w:r>
        <w:t xml:space="preserve"> </w:t>
      </w:r>
      <m:oMath>
        <m:sSub>
          <m:e>
            <m:r>
              <m:t>T</m:t>
            </m:r>
          </m:e>
          <m:sub>
            <m:r>
              <m:t>t</m:t>
            </m:r>
          </m:sub>
        </m:sSub>
      </m:oMath>
      <w:r>
        <w:t xml:space="preserve"> </w:t>
      </w:r>
      <w:r>
        <w:t xml:space="preserve">into leaf</w:t>
      </w:r>
      <w:r>
        <w:t xml:space="preserve"> </w:t>
      </w:r>
      <m:oMath>
        <m:r>
          <m:t>t</m:t>
        </m:r>
      </m:oMath>
      <w:r>
        <w:t xml:space="preserve">:</w:t>
      </w:r>
    </w:p>
    <w:p>
      <w:pPr>
        <w:pStyle w:val="BodyText"/>
      </w:pPr>
      <m:oMathPara>
        <m:oMathParaPr>
          <m:jc m:val="center"/>
        </m:oMathParaPr>
        <m:oMath>
          <m:sSub>
            <m:e>
              <m:r>
                <m:t>α</m:t>
              </m:r>
            </m:e>
            <m:sub>
              <m:r>
                <m:rPr>
                  <m:nor/>
                  <m:sty m:val="p"/>
                </m:rPr>
                <m:t>eff</m:t>
              </m:r>
            </m:sub>
          </m:sSub>
          <m:r>
            <m:rPr>
              <m:sty m:val="p"/>
            </m:rPr>
            <m:t>(</m:t>
          </m:r>
          <m:r>
            <m:t>t</m:t>
          </m:r>
          <m:r>
            <m:rPr>
              <m:sty m:val="p"/>
            </m:rPr>
            <m:t>)</m:t>
          </m:r>
          <m:r>
            <m:rPr>
              <m:sty m:val="p"/>
            </m:rPr>
            <m:t>=</m:t>
          </m:r>
          <m:f>
            <m:fPr>
              <m:type m:val="bar"/>
            </m:fPr>
            <m:num>
              <m:r>
                <m:t>R</m:t>
              </m:r>
              <m:r>
                <m:rPr>
                  <m:sty m:val="p"/>
                </m:rPr>
                <m:t>(</m:t>
              </m:r>
              <m:r>
                <m:t>t</m:t>
              </m:r>
              <m:r>
                <m:rPr>
                  <m:sty m:val="p"/>
                </m:rPr>
                <m:t>)</m:t>
              </m:r>
              <m:r>
                <m:rPr>
                  <m:sty m:val="p"/>
                </m:rPr>
                <m:t>−</m:t>
              </m:r>
              <m:r>
                <m:t>R</m:t>
              </m:r>
              <m:r>
                <m:rPr>
                  <m:sty m:val="p"/>
                </m:rPr>
                <m:t>(</m:t>
              </m:r>
              <m:sSub>
                <m:e>
                  <m:r>
                    <m:t>T</m:t>
                  </m:r>
                </m:e>
                <m:sub>
                  <m:r>
                    <m:t>t</m:t>
                  </m:r>
                </m:sub>
              </m:sSub>
              <m:r>
                <m:rPr>
                  <m:sty m:val="p"/>
                </m:rPr>
                <m:t>)</m:t>
              </m:r>
            </m:num>
            <m:den>
              <m:r>
                <m:rPr>
                  <m:sty m:val="p"/>
                </m:rPr>
                <m:t>|</m:t>
              </m:r>
              <m:sSub>
                <m:e>
                  <m:r>
                    <m:t>T</m:t>
                  </m:r>
                </m:e>
                <m:sub>
                  <m:r>
                    <m:t>t</m:t>
                  </m:r>
                </m:sub>
              </m:sSub>
              <m:r>
                <m:rPr>
                  <m:sty m:val="p"/>
                </m:rPr>
                <m:t>|</m:t>
              </m:r>
              <m:r>
                <m:rPr>
                  <m:sty m:val="p"/>
                </m:rPr>
                <m:t>−</m:t>
              </m:r>
              <m:r>
                <m:t>1</m:t>
              </m:r>
            </m:den>
          </m:f>
        </m:oMath>
      </m:oMathPara>
    </w:p>
    <w:p>
      <w:pPr>
        <w:pStyle w:val="FirstParagraph"/>
      </w:pPr>
      <w:r>
        <w:t xml:space="preserve">To eliminate test leakage, a strict 3-way partitioning was enforced:</w:t>
      </w:r>
      <w:r>
        <w:t xml:space="preserve"> </w:t>
      </w:r>
      <w:r>
        <w:t xml:space="preserve">-</w:t>
      </w:r>
      <w:r>
        <w:t xml:space="preserve"> </w:t>
      </w:r>
      <w:r>
        <w:rPr>
          <w:b/>
          <w:bCs/>
        </w:rPr>
        <w:t xml:space="preserve">Training Set (102,692 packets):</w:t>
      </w:r>
      <w:r>
        <w:t xml:space="preserve"> </w:t>
      </w:r>
      <w:r>
        <w:t xml:space="preserve">Internally split into 82,153 internal training and 20,539 internal validation samples.</w:t>
      </w:r>
      <w:r>
        <w:t xml:space="preserve"> </w:t>
      </w:r>
      <w:r>
        <w:t xml:space="preserve">-</w:t>
      </w:r>
      <w:r>
        <w:t xml:space="preserve"> </w:t>
      </w:r>
      <w:r>
        <w:rPr>
          <w:b/>
          <w:bCs/>
        </w:rPr>
        <w:t xml:space="preserve">Held-Out Test Set (25,674 packets):</w:t>
      </w:r>
      <w:r>
        <w:t xml:space="preserve"> </w:t>
      </w:r>
      <w:r>
        <w:t xml:space="preserve">Sealed until final verification.</w:t>
      </w:r>
    </w:p>
    <w:p>
      <w:pPr>
        <w:pStyle w:val="BodyText"/>
      </w:pPr>
      <w:r>
        <w:t xml:space="preserve">The pruning path discovered 60 candidate alphas. Evaluating 20 representative candidates against the validation set identified</w:t>
      </w:r>
      <w:r>
        <w:t xml:space="preserve"> </w:t>
      </w:r>
      <w:r>
        <w:rPr>
          <w:b/>
          <w:bCs/>
        </w:rPr>
        <w:t xml:space="preserve">Candidate 2 with</w:t>
      </w:r>
      <w:r>
        <w:rPr>
          <w:b/>
          <w:bCs/>
        </w:rPr>
        <w:t xml:space="preserve"> </w:t>
      </w:r>
      <m:oMath>
        <m:sSup>
          <m:e>
            <m:r>
              <m:t>α</m:t>
            </m:r>
          </m:e>
          <m:sup>
            <m:r>
              <m:rPr>
                <m:sty m:val="p"/>
              </m:rPr>
              <m:t>*</m:t>
            </m:r>
          </m:sup>
        </m:sSup>
        <m:r>
          <m:rPr>
            <m:sty m:val="p"/>
          </m:rPr>
          <m:t>=</m:t>
        </m:r>
        <m:r>
          <m:t>1.999753</m:t>
        </m:r>
        <m:r>
          <m:rPr>
            <m:sty m:val="p"/>
          </m:rPr>
          <m:t>×</m:t>
        </m:r>
        <m:sSup>
          <m:e>
            <m:r>
              <m:t>10</m:t>
            </m:r>
          </m:e>
          <m:sup>
            <m:r>
              <m:rPr>
                <m:sty m:val="p"/>
              </m:rPr>
              <m:t>−</m:t>
            </m:r>
            <m:r>
              <m:t>5</m:t>
            </m:r>
          </m:sup>
        </m:sSup>
      </m:oMath>
      <w:r>
        <w:t xml:space="preserve">, which achieved peak validation Macro F1 (99.7696%) while pruning 9 redundant leaves.</w:t>
      </w:r>
    </w:p>
    <w:p>
      <w:r>
        <w:pict>
          <v:rect style="width:0;height:1.5pt" o:hralign="center" o:hrstd="t" o:hr="t"/>
        </w:pict>
      </w:r>
    </w:p>
    <w:bookmarkEnd w:id="13"/>
    <w:bookmarkStart w:id="16" w:name="final-results-comparative-evaluation"/>
    <w:p>
      <w:pPr>
        <w:pStyle w:val="Heading3"/>
      </w:pPr>
      <w:r>
        <w:rPr>
          <w:rStyle w:val="SectionNumber"/>
        </w:rPr>
        <w:t xml:space="preserve">1.1.6</w:t>
      </w:r>
      <w:r>
        <w:tab/>
      </w:r>
      <w:r>
        <w:t xml:space="preserve">5. Final Results &amp; Comparative Evaluation</w:t>
      </w:r>
    </w:p>
    <w:bookmarkStart w:id="14" w:name="Xa609e45d97c14d08292732c606e2d478bd3ba34"/>
    <w:p>
      <w:pPr>
        <w:pStyle w:val="Heading4"/>
      </w:pPr>
      <w:r>
        <w:rPr>
          <w:rStyle w:val="SectionNumber"/>
        </w:rPr>
        <w:t xml:space="preserve">1.1.6.1</w:t>
      </w:r>
      <w:r>
        <w:tab/>
      </w:r>
      <w:r>
        <w:t xml:space="preserve">Baseline vs. Final Pruned Model Comparison</w:t>
      </w:r>
    </w:p>
    <w:tbl>
      <w:tblPr>
        <w:tblStyle w:val="Table"/>
        <w:tblW w:type="pct" w:w="5000"/>
        <w:jc w:val="center"/>
        <w:tblLayout w:type="fixed"/>
        <w:tblLook w:firstRow="1" w:lastRow="0" w:firstColumn="0" w:lastColumn="0" w:noHBand="0" w:noVBand="0" w:val="0020"/>
      </w:tblPr>
      <w:tblGrid>
        <w:gridCol w:w="1667"/>
        <w:gridCol w:w="2084"/>
        <w:gridCol w:w="2084"/>
        <w:gridCol w:w="2084"/>
      </w:tblGrid>
      <w:tr>
        <w:trPr>
          <w:tblHeader w:val="on"/>
        </w:trPr>
        <w:tc>
          <w:tcPr>
            <w:shd w:fill="1F497D"/>
          </w:tcPr>
          <w:p>
            <w:pPr>
              <w:pStyle w:val="Compact"/>
              <w:jc w:val="center"/>
            </w:pPr>
            <w:r>
              <w:rPr>
                <w:rFonts w:ascii="Calibri" w:hAnsi="Calibri"/>
                <w:b/>
                <w:color w:val="FFFFFF"/>
                <w:sz w:val="19"/>
              </w:rPr>
              <w:t xml:space="preserve">Evaluation Metric</w:t>
            </w:r>
          </w:p>
        </w:tc>
        <w:tc>
          <w:tcPr>
            <w:shd w:fill="1F497D"/>
          </w:tcPr>
          <w:p>
            <w:pPr>
              <w:pStyle w:val="Compact"/>
              <w:jc w:val="center"/>
            </w:pPr>
            <w:r>
              <w:rPr>
                <w:rFonts w:ascii="Calibri" w:hAnsi="Calibri"/>
                <w:b/>
                <w:color w:val="FFFFFF"/>
                <w:sz w:val="19"/>
              </w:rPr>
              <w:t xml:space="preserve">Baseline (Unpruned,</w:t>
            </w:r>
            <w:r>
              <w:rPr>
                <w:rFonts w:ascii="Calibri" w:hAnsi="Calibri"/>
                <w:b/>
                <w:color w:val="FFFFFF"/>
                <w:sz w:val="19"/>
              </w:rPr>
              <w:t xml:space="preserve"> </w:t>
            </w:r>
            <m:oMath>
              <m:r>
                <m:t>α</m:t>
              </m:r>
              <m:r>
                <m:rPr>
                  <m:sty m:val="p"/>
                </m:rPr>
                <m:t>=</m:t>
              </m:r>
              <m:r>
                <m:t>0.0</m:t>
              </m:r>
            </m:oMath>
            <w:r>
              <w:rPr>
                <w:rFonts w:ascii="Calibri" w:hAnsi="Calibri"/>
                <w:b/>
                <w:color w:val="FFFFFF"/>
                <w:sz w:val="19"/>
              </w:rPr>
              <w:t xml:space="preserve">)</w:t>
            </w:r>
          </w:p>
        </w:tc>
        <w:tc>
          <w:tcPr>
            <w:shd w:fill="1F497D"/>
          </w:tcPr>
          <w:p>
            <w:pPr>
              <w:pStyle w:val="Compact"/>
              <w:jc w:val="center"/>
            </w:pPr>
            <w:r>
              <w:rPr>
                <w:rFonts w:ascii="Calibri" w:hAnsi="Calibri"/>
                <w:b/>
                <w:color w:val="FFFFFF"/>
                <w:sz w:val="19"/>
              </w:rPr>
              <w:t xml:space="preserve">Final Pruned Model (</w:t>
            </w:r>
            <m:oMath>
              <m:r>
                <m:t>α</m:t>
              </m:r>
              <m:r>
                <m:rPr>
                  <m:sty m:val="p"/>
                </m:rPr>
                <m:t>=</m:t>
              </m:r>
              <m:r>
                <m:t>1.9998</m:t>
              </m:r>
              <m:r>
                <m:t>e</m:t>
              </m:r>
              <m:r>
                <m:rPr>
                  <m:sty m:val="p"/>
                </m:rPr>
                <m:t>−</m:t>
              </m:r>
              <m:r>
                <m:t>5</m:t>
              </m:r>
            </m:oMath>
            <w:r>
              <w:rPr>
                <w:rFonts w:ascii="Calibri" w:hAnsi="Calibri"/>
                <w:b/>
                <w:color w:val="FFFFFF"/>
                <w:sz w:val="19"/>
              </w:rPr>
              <w:t xml:space="preserve">)</w:t>
            </w:r>
          </w:p>
        </w:tc>
        <w:tc>
          <w:tcPr>
            <w:shd w:fill="1F497D"/>
          </w:tcPr>
          <w:p>
            <w:pPr>
              <w:pStyle w:val="Compact"/>
              <w:jc w:val="center"/>
            </w:pPr>
            <w:r>
              <w:rPr>
                <w:rFonts w:ascii="Calibri" w:hAnsi="Calibri"/>
                <w:b/>
                <w:color w:val="FFFFFF"/>
                <w:sz w:val="19"/>
              </w:rPr>
              <w:t xml:space="preserve">Engineering Impact</w:t>
            </w:r>
          </w:p>
        </w:tc>
      </w:tr>
      <w:tr>
        <w:tc>
          <w:tcPr>
            <w:shd w:fill="F2F5F8"/>
          </w:tcPr>
          <w:p>
            <w:pPr>
              <w:pStyle w:val="Compact"/>
              <w:jc w:val="left"/>
            </w:pPr>
            <w:r>
              <w:rPr>
                <w:rFonts w:ascii="Calibri" w:hAnsi="Calibri"/>
                <w:b/>
                <w:bCs/>
                <w:sz w:val="18"/>
              </w:rPr>
              <w:t xml:space="preserve">Tree Depth</w:t>
            </w:r>
          </w:p>
        </w:tc>
        <w:tc>
          <w:tcPr>
            <w:shd w:fill="F2F5F8"/>
          </w:tcPr>
          <w:p>
            <w:pPr>
              <w:pStyle w:val="Compact"/>
              <w:jc w:val="center"/>
            </w:pPr>
            <w:r>
              <w:rPr>
                <w:rFonts w:ascii="Calibri" w:hAnsi="Calibri"/>
                <w:sz w:val="18"/>
              </w:rPr>
              <w:t xml:space="preserve">21 levels</w:t>
            </w:r>
          </w:p>
        </w:tc>
        <w:tc>
          <w:tcPr>
            <w:shd w:fill="F2F5F8"/>
          </w:tcPr>
          <w:p>
            <w:pPr>
              <w:pStyle w:val="Compact"/>
              <w:jc w:val="center"/>
            </w:pPr>
            <w:r>
              <w:rPr>
                <w:rFonts w:ascii="Calibri" w:hAnsi="Calibri"/>
                <w:b/>
                <w:bCs/>
                <w:sz w:val="18"/>
              </w:rPr>
              <w:t xml:space="preserve">18 levels</w:t>
            </w:r>
          </w:p>
        </w:tc>
        <w:tc>
          <w:tcPr>
            <w:shd w:fill="F2F5F8"/>
          </w:tcPr>
          <w:p>
            <w:pPr>
              <w:pStyle w:val="Compact"/>
              <w:jc w:val="center"/>
            </w:pPr>
            <w:r>
              <w:rPr>
                <w:rFonts w:ascii="Calibri" w:hAnsi="Calibri"/>
                <w:b/>
                <w:bCs/>
                <w:sz w:val="18"/>
              </w:rPr>
              <w:t xml:space="preserve">-3 levels (-14.3%)</w:t>
            </w:r>
          </w:p>
        </w:tc>
      </w:tr>
      <w:tr>
        <w:tc>
          <w:tcPr>
            <w:shd w:fill="FFFFFF"/>
          </w:tcPr>
          <w:p>
            <w:pPr>
              <w:pStyle w:val="Compact"/>
              <w:jc w:val="left"/>
            </w:pPr>
            <w:r>
              <w:rPr>
                <w:rFonts w:ascii="Calibri" w:hAnsi="Calibri"/>
                <w:b/>
                <w:bCs/>
                <w:sz w:val="18"/>
              </w:rPr>
              <w:t xml:space="preserve">Total Node Count</w:t>
            </w:r>
          </w:p>
        </w:tc>
        <w:tc>
          <w:tcPr>
            <w:shd w:fill="FFFFFF"/>
          </w:tcPr>
          <w:p>
            <w:pPr>
              <w:pStyle w:val="Compact"/>
              <w:jc w:val="center"/>
            </w:pPr>
            <w:r>
              <w:rPr>
                <w:rFonts w:ascii="Calibri" w:hAnsi="Calibri"/>
                <w:sz w:val="18"/>
              </w:rPr>
              <w:t xml:space="preserve">181 nodes</w:t>
            </w:r>
          </w:p>
        </w:tc>
        <w:tc>
          <w:tcPr>
            <w:shd w:fill="FFFFFF"/>
          </w:tcPr>
          <w:p>
            <w:pPr>
              <w:pStyle w:val="Compact"/>
              <w:jc w:val="center"/>
            </w:pPr>
            <w:r>
              <w:rPr>
                <w:rFonts w:ascii="Calibri" w:hAnsi="Calibri"/>
                <w:b/>
                <w:bCs/>
                <w:sz w:val="18"/>
              </w:rPr>
              <w:t xml:space="preserve">133 nodes</w:t>
            </w:r>
          </w:p>
        </w:tc>
        <w:tc>
          <w:tcPr>
            <w:shd w:fill="FFFFFF"/>
          </w:tcPr>
          <w:p>
            <w:pPr>
              <w:pStyle w:val="Compact"/>
              <w:jc w:val="center"/>
            </w:pPr>
            <w:r>
              <w:rPr>
                <w:rFonts w:ascii="Calibri" w:hAnsi="Calibri"/>
                <w:b/>
                <w:bCs/>
                <w:sz w:val="18"/>
              </w:rPr>
              <w:t xml:space="preserve">-48 nodes (-26.5%)</w:t>
            </w:r>
          </w:p>
        </w:tc>
      </w:tr>
      <w:tr>
        <w:tc>
          <w:tcPr>
            <w:shd w:fill="F2F5F8"/>
          </w:tcPr>
          <w:p>
            <w:pPr>
              <w:pStyle w:val="Compact"/>
              <w:jc w:val="left"/>
            </w:pPr>
            <w:r>
              <w:rPr>
                <w:rFonts w:ascii="Calibri" w:hAnsi="Calibri"/>
                <w:b/>
                <w:bCs/>
                <w:sz w:val="18"/>
              </w:rPr>
              <w:t xml:space="preserve">Terminal Leaves (</w:t>
            </w:r>
            <m:oMath>
              <m:r>
                <m:rPr>
                  <m:sty m:val="p"/>
                </m:rPr>
                <m:t>|</m:t>
              </m:r>
              <m:r>
                <m:t>T</m:t>
              </m:r>
              <m:r>
                <m:rPr>
                  <m:sty m:val="p"/>
                </m:rPr>
                <m:t>|</m:t>
              </m:r>
            </m:oMath>
            <w:r>
              <w:rPr>
                <w:rFonts w:ascii="Calibri" w:hAnsi="Calibri"/>
                <w:b/>
                <w:bCs/>
                <w:sz w:val="18"/>
              </w:rPr>
              <w:t xml:space="preserve">)</w:t>
            </w:r>
          </w:p>
        </w:tc>
        <w:tc>
          <w:tcPr>
            <w:shd w:fill="F2F5F8"/>
          </w:tcPr>
          <w:p>
            <w:pPr>
              <w:pStyle w:val="Compact"/>
              <w:jc w:val="center"/>
            </w:pPr>
            <w:r>
              <w:rPr>
                <w:rFonts w:ascii="Calibri" w:hAnsi="Calibri"/>
                <w:sz w:val="18"/>
              </w:rPr>
              <w:t xml:space="preserve">91 leaves</w:t>
            </w:r>
          </w:p>
        </w:tc>
        <w:tc>
          <w:tcPr>
            <w:shd w:fill="F2F5F8"/>
          </w:tcPr>
          <w:p>
            <w:pPr>
              <w:pStyle w:val="Compact"/>
              <w:jc w:val="center"/>
            </w:pPr>
            <w:r>
              <w:rPr>
                <w:rFonts w:ascii="Calibri" w:hAnsi="Calibri"/>
                <w:b/>
                <w:bCs/>
                <w:sz w:val="18"/>
              </w:rPr>
              <w:t xml:space="preserve">67 leaves</w:t>
            </w:r>
          </w:p>
        </w:tc>
        <w:tc>
          <w:tcPr>
            <w:shd w:fill="F2F5F8"/>
          </w:tcPr>
          <w:p>
            <w:pPr>
              <w:pStyle w:val="Compact"/>
              <w:jc w:val="center"/>
            </w:pPr>
            <w:r>
              <w:rPr>
                <w:rFonts w:ascii="Calibri" w:hAnsi="Calibri"/>
                <w:b/>
                <w:bCs/>
                <w:sz w:val="18"/>
              </w:rPr>
              <w:t xml:space="preserve">-24 leaves (-26.4%)</w:t>
            </w:r>
          </w:p>
        </w:tc>
      </w:tr>
      <w:tr>
        <w:tc>
          <w:tcPr>
            <w:shd w:fill="FFFFFF"/>
          </w:tcPr>
          <w:p>
            <w:pPr>
              <w:pStyle w:val="Compact"/>
              <w:jc w:val="left"/>
            </w:pPr>
            <w:r>
              <w:rPr>
                <w:rFonts w:ascii="Calibri" w:hAnsi="Calibri"/>
                <w:b/>
                <w:bCs/>
                <w:sz w:val="18"/>
              </w:rPr>
              <w:t xml:space="preserve">Multiclass Test Accuracy</w:t>
            </w:r>
          </w:p>
        </w:tc>
        <w:tc>
          <w:tcPr>
            <w:shd w:fill="FFFFFF"/>
          </w:tcPr>
          <w:p>
            <w:pPr>
              <w:pStyle w:val="Compact"/>
              <w:jc w:val="center"/>
            </w:pPr>
            <w:r>
              <w:rPr>
                <w:rFonts w:ascii="Calibri" w:hAnsi="Calibri"/>
                <w:sz w:val="18"/>
              </w:rPr>
              <w:t xml:space="preserve">99.6144%</w:t>
            </w:r>
          </w:p>
        </w:tc>
        <w:tc>
          <w:tcPr>
            <w:shd w:fill="FFFFFF"/>
          </w:tcPr>
          <w:p>
            <w:pPr>
              <w:pStyle w:val="Compact"/>
              <w:jc w:val="center"/>
            </w:pPr>
            <w:r>
              <w:rPr>
                <w:rFonts w:ascii="Calibri" w:hAnsi="Calibri"/>
                <w:b/>
                <w:bCs/>
                <w:sz w:val="18"/>
              </w:rPr>
              <w:t xml:space="preserve">99.6183%</w:t>
            </w:r>
          </w:p>
        </w:tc>
        <w:tc>
          <w:tcPr>
            <w:shd w:fill="FFFFFF"/>
          </w:tcPr>
          <w:p>
            <w:pPr>
              <w:pStyle w:val="Compact"/>
              <w:jc w:val="center"/>
            </w:pPr>
            <w:r>
              <w:rPr>
                <w:rFonts w:ascii="Calibri" w:hAnsi="Calibri"/>
                <w:b/>
                <w:bCs/>
                <w:sz w:val="18"/>
              </w:rPr>
              <w:t xml:space="preserve">+0.0039% (Maintained)</w:t>
            </w:r>
          </w:p>
        </w:tc>
      </w:tr>
      <w:tr>
        <w:tc>
          <w:tcPr>
            <w:shd w:fill="F2F5F8"/>
          </w:tcPr>
          <w:p>
            <w:pPr>
              <w:pStyle w:val="Compact"/>
              <w:jc w:val="left"/>
            </w:pPr>
            <w:r>
              <w:rPr>
                <w:rFonts w:ascii="Calibri" w:hAnsi="Calibri"/>
                <w:b/>
                <w:bCs/>
                <w:sz w:val="18"/>
              </w:rPr>
              <w:t xml:space="preserve">Multiclass Macro F1</w:t>
            </w:r>
          </w:p>
        </w:tc>
        <w:tc>
          <w:tcPr>
            <w:shd w:fill="F2F5F8"/>
          </w:tcPr>
          <w:p>
            <w:pPr>
              <w:pStyle w:val="Compact"/>
              <w:jc w:val="center"/>
            </w:pPr>
            <w:r>
              <w:rPr>
                <w:rFonts w:ascii="Calibri" w:hAnsi="Calibri"/>
                <w:sz w:val="18"/>
              </w:rPr>
              <w:t xml:space="preserve">99.6487%</w:t>
            </w:r>
          </w:p>
        </w:tc>
        <w:tc>
          <w:tcPr>
            <w:shd w:fill="F2F5F8"/>
          </w:tcPr>
          <w:p>
            <w:pPr>
              <w:pStyle w:val="Compact"/>
              <w:jc w:val="center"/>
            </w:pPr>
            <w:r>
              <w:rPr>
                <w:rFonts w:ascii="Calibri" w:hAnsi="Calibri"/>
                <w:b/>
                <w:bCs/>
                <w:sz w:val="18"/>
              </w:rPr>
              <w:t xml:space="preserve">99.6510%</w:t>
            </w:r>
          </w:p>
        </w:tc>
        <w:tc>
          <w:tcPr>
            <w:shd w:fill="F2F5F8"/>
          </w:tcPr>
          <w:p>
            <w:pPr>
              <w:pStyle w:val="Compact"/>
              <w:jc w:val="center"/>
            </w:pPr>
            <w:r>
              <w:rPr>
                <w:rFonts w:ascii="Calibri" w:hAnsi="Calibri"/>
                <w:b/>
                <w:bCs/>
                <w:sz w:val="18"/>
              </w:rPr>
              <w:t xml:space="preserve">+0.0023% (Maintained)</w:t>
            </w:r>
          </w:p>
        </w:tc>
      </w:tr>
      <w:tr>
        <w:tc>
          <w:tcPr>
            <w:shd w:fill="FFFFFF"/>
          </w:tcPr>
          <w:p>
            <w:pPr>
              <w:pStyle w:val="Compact"/>
              <w:jc w:val="left"/>
            </w:pPr>
            <w:r>
              <w:rPr>
                <w:rFonts w:ascii="Calibri" w:hAnsi="Calibri"/>
                <w:b/>
                <w:bCs/>
                <w:sz w:val="18"/>
              </w:rPr>
              <w:t xml:space="preserve">Binary Detection Accuracy</w:t>
            </w:r>
          </w:p>
        </w:tc>
        <w:tc>
          <w:tcPr>
            <w:shd w:fill="FFFFFF"/>
          </w:tcPr>
          <w:p>
            <w:pPr>
              <w:pStyle w:val="Compact"/>
              <w:jc w:val="center"/>
            </w:pPr>
            <w:r>
              <w:rPr>
                <w:rFonts w:ascii="Calibri" w:hAnsi="Calibri"/>
                <w:sz w:val="18"/>
              </w:rPr>
              <w:t xml:space="preserve">99.9649%</w:t>
            </w:r>
          </w:p>
        </w:tc>
        <w:tc>
          <w:tcPr>
            <w:shd w:fill="FFFFFF"/>
          </w:tcPr>
          <w:p>
            <w:pPr>
              <w:pStyle w:val="Compact"/>
              <w:jc w:val="center"/>
            </w:pPr>
            <w:r>
              <w:rPr>
                <w:rFonts w:ascii="Calibri" w:hAnsi="Calibri"/>
                <w:b/>
                <w:bCs/>
                <w:sz w:val="18"/>
              </w:rPr>
              <w:t xml:space="preserve">99.9649%</w:t>
            </w:r>
          </w:p>
        </w:tc>
        <w:tc>
          <w:tcPr>
            <w:shd w:fill="FFFFFF"/>
          </w:tcPr>
          <w:p>
            <w:pPr>
              <w:pStyle w:val="Compact"/>
              <w:jc w:val="center"/>
            </w:pPr>
            <w:r>
              <w:rPr>
                <w:rFonts w:ascii="Calibri" w:hAnsi="Calibri"/>
                <w:b/>
                <w:bCs/>
                <w:sz w:val="18"/>
              </w:rPr>
              <w:t xml:space="preserve">Identical (&gt;99.96%)</w:t>
            </w:r>
          </w:p>
        </w:tc>
      </w:tr>
      <w:tr>
        <w:tc>
          <w:tcPr>
            <w:shd w:fill="F2F5F8"/>
          </w:tcPr>
          <w:p>
            <w:pPr>
              <w:pStyle w:val="Compact"/>
              <w:jc w:val="left"/>
            </w:pPr>
            <w:r>
              <w:rPr>
                <w:rFonts w:ascii="Calibri" w:hAnsi="Calibri"/>
                <w:b/>
                <w:bCs/>
                <w:sz w:val="18"/>
              </w:rPr>
              <w:t xml:space="preserve">Binary Detection F1</w:t>
            </w:r>
          </w:p>
        </w:tc>
        <w:tc>
          <w:tcPr>
            <w:shd w:fill="F2F5F8"/>
          </w:tcPr>
          <w:p>
            <w:pPr>
              <w:pStyle w:val="Compact"/>
              <w:jc w:val="center"/>
            </w:pPr>
            <w:r>
              <w:rPr>
                <w:rFonts w:ascii="Calibri" w:hAnsi="Calibri"/>
                <w:sz w:val="18"/>
              </w:rPr>
              <w:t xml:space="preserve">99.9810%</w:t>
            </w:r>
          </w:p>
        </w:tc>
        <w:tc>
          <w:tcPr>
            <w:shd w:fill="F2F5F8"/>
          </w:tcPr>
          <w:p>
            <w:pPr>
              <w:pStyle w:val="Compact"/>
              <w:jc w:val="center"/>
            </w:pPr>
            <w:r>
              <w:rPr>
                <w:rFonts w:ascii="Calibri" w:hAnsi="Calibri"/>
                <w:b/>
                <w:bCs/>
                <w:sz w:val="18"/>
              </w:rPr>
              <w:t xml:space="preserve">99.9810%</w:t>
            </w:r>
          </w:p>
        </w:tc>
        <w:tc>
          <w:tcPr>
            <w:shd w:fill="F2F5F8"/>
          </w:tcPr>
          <w:p>
            <w:pPr>
              <w:pStyle w:val="Compact"/>
              <w:jc w:val="center"/>
            </w:pPr>
            <w:r>
              <w:rPr>
                <w:rFonts w:ascii="Calibri" w:hAnsi="Calibri"/>
                <w:b/>
                <w:bCs/>
                <w:sz w:val="18"/>
              </w:rPr>
              <w:t xml:space="preserve">Identical (&gt;99.98%)</w:t>
            </w:r>
          </w:p>
        </w:tc>
      </w:tr>
      <w:tr>
        <w:tc>
          <w:tcPr>
            <w:shd w:fill="FFFFFF"/>
          </w:tcPr>
          <w:p>
            <w:pPr>
              <w:pStyle w:val="Compact"/>
              <w:jc w:val="left"/>
            </w:pPr>
            <w:r>
              <w:rPr>
                <w:rFonts w:ascii="Calibri" w:hAnsi="Calibri"/>
                <w:b/>
                <w:bCs/>
                <w:sz w:val="18"/>
              </w:rPr>
              <w:t xml:space="preserve">Generalization Gap</w:t>
            </w:r>
          </w:p>
        </w:tc>
        <w:tc>
          <w:tcPr>
            <w:shd w:fill="FFFFFF"/>
          </w:tcPr>
          <w:p>
            <w:pPr>
              <w:pStyle w:val="Compact"/>
              <w:jc w:val="center"/>
            </w:pPr>
            <w:r>
              <w:rPr>
                <w:rFonts w:ascii="Calibri" w:hAnsi="Calibri"/>
                <w:sz w:val="18"/>
              </w:rPr>
              <w:t xml:space="preserve">0.1022%</w:t>
            </w:r>
          </w:p>
        </w:tc>
        <w:tc>
          <w:tcPr>
            <w:shd w:fill="FFFFFF"/>
          </w:tcPr>
          <w:p>
            <w:pPr>
              <w:pStyle w:val="Compact"/>
              <w:jc w:val="center"/>
            </w:pPr>
            <w:r>
              <w:rPr>
                <w:rFonts w:ascii="Calibri" w:hAnsi="Calibri"/>
                <w:b/>
                <w:bCs/>
                <w:sz w:val="18"/>
              </w:rPr>
              <w:t xml:space="preserve">0.0769%</w:t>
            </w:r>
          </w:p>
        </w:tc>
        <w:tc>
          <w:tcPr>
            <w:shd w:fill="FFFFFF"/>
          </w:tcPr>
          <w:p>
            <w:pPr>
              <w:pStyle w:val="Compact"/>
              <w:jc w:val="center"/>
            </w:pPr>
            <w:r>
              <w:rPr>
                <w:rFonts w:ascii="Calibri" w:hAnsi="Calibri"/>
                <w:b/>
                <w:bCs/>
                <w:sz w:val="18"/>
              </w:rPr>
              <w:t xml:space="preserve">-24.8% Overfitting Reduction</w:t>
            </w:r>
          </w:p>
        </w:tc>
      </w:tr>
      <w:tr>
        <w:tc>
          <w:tcPr>
            <w:shd w:fill="F2F5F8"/>
          </w:tcPr>
          <w:p>
            <w:pPr>
              <w:pStyle w:val="Compact"/>
              <w:jc w:val="left"/>
            </w:pPr>
            <w:r>
              <w:rPr>
                <w:rFonts w:ascii="Calibri" w:hAnsi="Calibri"/>
                <w:b/>
                <w:bCs/>
                <w:sz w:val="18"/>
              </w:rPr>
              <w:t xml:space="preserve">Serialized Model Size</w:t>
            </w:r>
          </w:p>
        </w:tc>
        <w:tc>
          <w:tcPr>
            <w:shd w:fill="F2F5F8"/>
          </w:tcPr>
          <w:p>
            <w:pPr>
              <w:pStyle w:val="Compact"/>
              <w:jc w:val="center"/>
            </w:pPr>
            <w:r>
              <w:rPr>
                <w:rFonts w:ascii="Calibri" w:hAnsi="Calibri"/>
                <w:sz w:val="18"/>
              </w:rPr>
              <w:t xml:space="preserve">6.16 KB</w:t>
            </w:r>
          </w:p>
        </w:tc>
        <w:tc>
          <w:tcPr>
            <w:shd w:fill="F2F5F8"/>
          </w:tcPr>
          <w:p>
            <w:pPr>
              <w:pStyle w:val="Compact"/>
              <w:jc w:val="center"/>
            </w:pPr>
            <w:r>
              <w:rPr>
                <w:rFonts w:ascii="Calibri" w:hAnsi="Calibri"/>
                <w:b/>
                <w:bCs/>
                <w:sz w:val="18"/>
              </w:rPr>
              <w:t xml:space="preserve">5.44 KB</w:t>
            </w:r>
          </w:p>
        </w:tc>
        <w:tc>
          <w:tcPr>
            <w:shd w:fill="F2F5F8"/>
          </w:tcPr>
          <w:p>
            <w:pPr>
              <w:pStyle w:val="Compact"/>
              <w:jc w:val="center"/>
            </w:pPr>
            <w:r>
              <w:rPr>
                <w:rFonts w:ascii="Calibri" w:hAnsi="Calibri"/>
                <w:b/>
                <w:bCs/>
                <w:sz w:val="18"/>
              </w:rPr>
              <w:t xml:space="preserve">-11.7% Storage Reduction</w:t>
            </w:r>
          </w:p>
        </w:tc>
      </w:tr>
    </w:tbl>
    <w:bookmarkEnd w:id="14"/>
    <w:bookmarkStart w:id="15" w:name="standardized-tournament-metrics"/>
    <w:p>
      <w:pPr>
        <w:pStyle w:val="Heading4"/>
      </w:pPr>
      <w:r>
        <w:rPr>
          <w:rStyle w:val="SectionNumber"/>
        </w:rPr>
        <w:t xml:space="preserve">1.1.6.2</w:t>
      </w:r>
      <w:r>
        <w:tab/>
      </w:r>
      <w:r>
        <w:t xml:space="preserve">Standardized Tournament Metrics</w:t>
      </w:r>
    </w:p>
    <w:tbl>
      <w:tblPr>
        <w:tblStyle w:val="Table"/>
        <w:tblW w:type="pct" w:w="5000"/>
        <w:jc w:val="center"/>
        <w:tblLayout w:type="fixed"/>
        <w:tblLook w:firstRow="1" w:lastRow="0" w:firstColumn="0" w:lastColumn="0" w:noHBand="0" w:noVBand="0" w:val="0020"/>
      </w:tblPr>
      <w:tblGrid>
        <w:gridCol w:w="2436"/>
        <w:gridCol w:w="3046"/>
        <w:gridCol w:w="2436"/>
      </w:tblGrid>
      <w:tr>
        <w:trPr>
          <w:tblHeader w:val="on"/>
        </w:trPr>
        <w:tc>
          <w:tcPr>
            <w:shd w:fill="1F497D"/>
          </w:tcPr>
          <w:p>
            <w:pPr>
              <w:pStyle w:val="Compact"/>
              <w:jc w:val="center"/>
            </w:pPr>
            <w:r>
              <w:rPr>
                <w:rFonts w:ascii="Calibri" w:hAnsi="Calibri"/>
                <w:b/>
                <w:color w:val="FFFFFF"/>
                <w:sz w:val="19"/>
              </w:rPr>
              <w:t xml:space="preserve">Tournament Metric</w:t>
            </w:r>
          </w:p>
        </w:tc>
        <w:tc>
          <w:tcPr>
            <w:shd w:fill="1F497D"/>
          </w:tcPr>
          <w:p>
            <w:pPr>
              <w:pStyle w:val="Compact"/>
              <w:jc w:val="center"/>
            </w:pPr>
            <w:r>
              <w:rPr>
                <w:rFonts w:ascii="Calibri" w:hAnsi="Calibri"/>
                <w:b/>
                <w:color w:val="FFFFFF"/>
                <w:sz w:val="19"/>
              </w:rPr>
              <w:t xml:space="preserve">Measured Value</w:t>
            </w:r>
          </w:p>
        </w:tc>
        <w:tc>
          <w:tcPr>
            <w:shd w:fill="1F497D"/>
          </w:tcPr>
          <w:p>
            <w:pPr>
              <w:pStyle w:val="Compact"/>
              <w:jc w:val="center"/>
            </w:pPr>
            <w:r>
              <w:rPr>
                <w:rFonts w:ascii="Calibri" w:hAnsi="Calibri"/>
                <w:b/>
                <w:color w:val="FFFFFF"/>
                <w:sz w:val="19"/>
              </w:rPr>
              <w:t xml:space="preserve">Standardized Evaluation Format</w:t>
            </w:r>
          </w:p>
        </w:tc>
      </w:tr>
      <w:tr>
        <w:tc>
          <w:tcPr>
            <w:shd w:fill="F2F5F8"/>
          </w:tcPr>
          <w:p>
            <w:pPr>
              <w:pStyle w:val="Compact"/>
              <w:jc w:val="left"/>
            </w:pPr>
            <w:r>
              <w:rPr>
                <w:rFonts w:ascii="Calibri" w:hAnsi="Calibri"/>
                <w:b/>
                <w:bCs/>
                <w:sz w:val="18"/>
              </w:rPr>
              <w:t xml:space="preserve">Accuracy</w:t>
            </w:r>
          </w:p>
        </w:tc>
        <w:tc>
          <w:tcPr>
            <w:shd w:fill="F2F5F8"/>
          </w:tcPr>
          <w:p>
            <w:pPr>
              <w:pStyle w:val="Compact"/>
              <w:jc w:val="center"/>
            </w:pPr>
            <w:r>
              <w:rPr>
                <w:rFonts w:ascii="Calibri" w:hAnsi="Calibri"/>
                <w:b/>
                <w:bCs/>
                <w:sz w:val="18"/>
              </w:rPr>
              <w:t xml:space="preserve">99.6183%</w:t>
            </w:r>
          </w:p>
        </w:tc>
        <w:tc>
          <w:tcPr>
            <w:shd w:fill="F2F5F8"/>
          </w:tcPr>
          <w:p>
            <w:pPr>
              <w:pStyle w:val="Compact"/>
              <w:jc w:val="left"/>
            </w:pPr>
            <w:r>
              <w:rPr>
                <w:rFonts w:ascii="Calibri" w:hAnsi="Calibri"/>
                <w:sz w:val="18"/>
              </w:rPr>
              <w:t xml:space="preserve">Percentage of Correct Classifications</w:t>
            </w:r>
          </w:p>
        </w:tc>
      </w:tr>
      <w:tr>
        <w:tc>
          <w:tcPr>
            <w:shd w:fill="FFFFFF"/>
          </w:tcPr>
          <w:p>
            <w:pPr>
              <w:pStyle w:val="Compact"/>
              <w:jc w:val="left"/>
            </w:pPr>
            <w:r>
              <w:rPr>
                <w:rFonts w:ascii="Calibri" w:hAnsi="Calibri"/>
                <w:b/>
                <w:bCs/>
                <w:sz w:val="18"/>
              </w:rPr>
              <w:t xml:space="preserve">Precision</w:t>
            </w:r>
          </w:p>
        </w:tc>
        <w:tc>
          <w:tcPr>
            <w:shd w:fill="FFFFFF"/>
          </w:tcPr>
          <w:p>
            <w:pPr>
              <w:pStyle w:val="Compact"/>
              <w:jc w:val="center"/>
            </w:pPr>
            <w:r>
              <w:rPr>
                <w:rFonts w:ascii="Calibri" w:hAnsi="Calibri"/>
                <w:b/>
                <w:bCs/>
                <w:sz w:val="18"/>
              </w:rPr>
              <w:t xml:space="preserve">99.6611%</w:t>
            </w:r>
          </w:p>
        </w:tc>
        <w:tc>
          <w:tcPr>
            <w:shd w:fill="FFFFFF"/>
          </w:tcPr>
          <w:p>
            <w:pPr>
              <w:pStyle w:val="Compact"/>
              <w:jc w:val="left"/>
            </w:pPr>
            <w:r>
              <w:rPr>
                <w:rFonts w:ascii="Calibri" w:hAnsi="Calibri"/>
                <w:sz w:val="18"/>
              </w:rPr>
              <w:t xml:space="preserve">Macro-Averaged Precision</w:t>
            </w:r>
          </w:p>
        </w:tc>
      </w:tr>
      <w:tr>
        <w:tc>
          <w:tcPr>
            <w:shd w:fill="F2F5F8"/>
          </w:tcPr>
          <w:p>
            <w:pPr>
              <w:pStyle w:val="Compact"/>
              <w:jc w:val="left"/>
            </w:pPr>
            <w:r>
              <w:rPr>
                <w:rFonts w:ascii="Calibri" w:hAnsi="Calibri"/>
                <w:b/>
                <w:bCs/>
                <w:sz w:val="18"/>
              </w:rPr>
              <w:t xml:space="preserve">Recall</w:t>
            </w:r>
          </w:p>
        </w:tc>
        <w:tc>
          <w:tcPr>
            <w:shd w:fill="F2F5F8"/>
          </w:tcPr>
          <w:p>
            <w:pPr>
              <w:pStyle w:val="Compact"/>
              <w:jc w:val="center"/>
            </w:pPr>
            <w:r>
              <w:rPr>
                <w:rFonts w:ascii="Calibri" w:hAnsi="Calibri"/>
                <w:b/>
                <w:bCs/>
                <w:sz w:val="18"/>
              </w:rPr>
              <w:t xml:space="preserve">99.6455%</w:t>
            </w:r>
          </w:p>
        </w:tc>
        <w:tc>
          <w:tcPr>
            <w:shd w:fill="F2F5F8"/>
          </w:tcPr>
          <w:p>
            <w:pPr>
              <w:pStyle w:val="Compact"/>
              <w:jc w:val="left"/>
            </w:pPr>
            <w:r>
              <w:rPr>
                <w:rFonts w:ascii="Calibri" w:hAnsi="Calibri"/>
                <w:sz w:val="18"/>
              </w:rPr>
              <w:t xml:space="preserve">Macro-Averaged Recall (Sensitivity)</w:t>
            </w:r>
          </w:p>
        </w:tc>
      </w:tr>
      <w:tr>
        <w:tc>
          <w:tcPr>
            <w:shd w:fill="FFFFFF"/>
          </w:tcPr>
          <w:p>
            <w:pPr>
              <w:pStyle w:val="Compact"/>
              <w:jc w:val="left"/>
            </w:pPr>
            <w:r>
              <w:rPr>
                <w:rFonts w:ascii="Calibri" w:hAnsi="Calibri"/>
                <w:b/>
                <w:bCs/>
                <w:sz w:val="18"/>
              </w:rPr>
              <w:t xml:space="preserve">F1-Score</w:t>
            </w:r>
          </w:p>
        </w:tc>
        <w:tc>
          <w:tcPr>
            <w:shd w:fill="FFFFFF"/>
          </w:tcPr>
          <w:p>
            <w:pPr>
              <w:pStyle w:val="Compact"/>
              <w:jc w:val="center"/>
            </w:pPr>
            <w:r>
              <w:rPr>
                <w:rFonts w:ascii="Calibri" w:hAnsi="Calibri"/>
                <w:b/>
                <w:bCs/>
                <w:sz w:val="18"/>
              </w:rPr>
              <w:t xml:space="preserve">99.6510%</w:t>
            </w:r>
          </w:p>
        </w:tc>
        <w:tc>
          <w:tcPr>
            <w:shd w:fill="FFFFFF"/>
          </w:tcPr>
          <w:p>
            <w:pPr>
              <w:pStyle w:val="Compact"/>
              <w:jc w:val="left"/>
            </w:pPr>
            <w:r>
              <w:rPr>
                <w:rFonts w:ascii="Calibri" w:hAnsi="Calibri"/>
                <w:sz w:val="18"/>
              </w:rPr>
              <w:t xml:space="preserve">Macro-Averaged Harmonic Mean</w:t>
            </w:r>
          </w:p>
        </w:tc>
      </w:tr>
      <w:tr>
        <w:tc>
          <w:tcPr>
            <w:shd w:fill="F2F5F8"/>
          </w:tcPr>
          <w:p>
            <w:pPr>
              <w:pStyle w:val="Compact"/>
              <w:jc w:val="left"/>
            </w:pPr>
            <w:r>
              <w:rPr>
                <w:rFonts w:ascii="Calibri" w:hAnsi="Calibri"/>
                <w:b/>
                <w:bCs/>
                <w:sz w:val="18"/>
              </w:rPr>
              <w:t xml:space="preserve">ROC-AUC</w:t>
            </w:r>
          </w:p>
        </w:tc>
        <w:tc>
          <w:tcPr>
            <w:shd w:fill="F2F5F8"/>
          </w:tcPr>
          <w:p>
            <w:pPr>
              <w:pStyle w:val="Compact"/>
              <w:jc w:val="center"/>
            </w:pPr>
            <w:r>
              <w:rPr>
                <w:rFonts w:ascii="Calibri" w:hAnsi="Calibri"/>
                <w:b/>
                <w:bCs/>
                <w:sz w:val="18"/>
              </w:rPr>
              <w:t xml:space="preserve">0.999410</w:t>
            </w:r>
          </w:p>
        </w:tc>
        <w:tc>
          <w:tcPr>
            <w:shd w:fill="F2F5F8"/>
          </w:tcPr>
          <w:p>
            <w:pPr>
              <w:pStyle w:val="Compact"/>
              <w:jc w:val="left"/>
            </w:pPr>
            <w:r>
              <w:rPr>
                <w:rFonts w:ascii="Calibri" w:hAnsi="Calibri"/>
                <w:sz w:val="18"/>
              </w:rPr>
              <w:t xml:space="preserve">One-vs-Rest Multiclass Macro ROC-AUC</w:t>
            </w:r>
          </w:p>
        </w:tc>
      </w:tr>
      <w:tr>
        <w:tc>
          <w:tcPr>
            <w:shd w:fill="FFFFFF"/>
          </w:tcPr>
          <w:p>
            <w:pPr>
              <w:pStyle w:val="Compact"/>
              <w:jc w:val="left"/>
            </w:pPr>
            <w:r>
              <w:rPr>
                <w:rFonts w:ascii="Calibri" w:hAnsi="Calibri"/>
                <w:b/>
                <w:bCs/>
                <w:sz w:val="18"/>
              </w:rPr>
              <w:t xml:space="preserve">Training Time</w:t>
            </w:r>
          </w:p>
        </w:tc>
        <w:tc>
          <w:tcPr>
            <w:shd w:fill="FFFFFF"/>
          </w:tcPr>
          <w:p>
            <w:pPr>
              <w:pStyle w:val="Compact"/>
              <w:jc w:val="center"/>
            </w:pPr>
            <w:r>
              <w:rPr>
                <w:rFonts w:ascii="Calibri" w:hAnsi="Calibri"/>
                <w:b/>
                <w:bCs/>
                <w:sz w:val="18"/>
              </w:rPr>
              <w:t xml:space="preserve">5.8563 s</w:t>
            </w:r>
          </w:p>
        </w:tc>
        <w:tc>
          <w:tcPr>
            <w:shd w:fill="FFFFFF"/>
          </w:tcPr>
          <w:p>
            <w:pPr>
              <w:pStyle w:val="Compact"/>
              <w:jc w:val="left"/>
            </w:pPr>
            <w:r>
              <w:rPr>
                <w:rFonts w:ascii="Calibri" w:hAnsi="Calibri"/>
                <w:sz w:val="18"/>
              </w:rPr>
              <w:t xml:space="preserve">Full Train Partition Single-Core Fitting</w:t>
            </w:r>
          </w:p>
        </w:tc>
      </w:tr>
      <w:tr>
        <w:tc>
          <w:tcPr>
            <w:shd w:fill="F2F5F8"/>
          </w:tcPr>
          <w:p>
            <w:pPr>
              <w:pStyle w:val="Compact"/>
              <w:jc w:val="left"/>
            </w:pPr>
            <w:r>
              <w:rPr>
                <w:rFonts w:ascii="Calibri" w:hAnsi="Calibri"/>
                <w:b/>
                <w:bCs/>
                <w:sz w:val="18"/>
              </w:rPr>
              <w:t xml:space="preserve">Inference Latency</w:t>
            </w:r>
          </w:p>
        </w:tc>
        <w:tc>
          <w:tcPr>
            <w:shd w:fill="F2F5F8"/>
          </w:tcPr>
          <w:p>
            <w:pPr>
              <w:pStyle w:val="Compact"/>
              <w:jc w:val="center"/>
            </w:pPr>
            <w:r>
              <w:rPr>
                <w:rFonts w:ascii="Calibri" w:hAnsi="Calibri"/>
                <w:b/>
                <w:bCs/>
                <w:sz w:val="18"/>
              </w:rPr>
              <w:t xml:space="preserve">0.000187 ms/sample</w:t>
            </w:r>
          </w:p>
        </w:tc>
        <w:tc>
          <w:tcPr>
            <w:shd w:fill="F2F5F8"/>
          </w:tcPr>
          <w:p>
            <w:pPr>
              <w:pStyle w:val="Compact"/>
              <w:jc w:val="left"/>
            </w:pPr>
            <w:r>
              <w:rPr>
                <w:rFonts w:ascii="Calibri" w:hAnsi="Calibri"/>
                <w:sz w:val="18"/>
              </w:rPr>
              <w:t xml:space="preserve">Vectorized Batch Latency (0.187</w:t>
            </w:r>
            <w:r>
              <w:rPr>
                <w:rFonts w:ascii="Calibri" w:hAnsi="Calibri"/>
                <w:sz w:val="18"/>
              </w:rPr>
              <w:t xml:space="preserve"> </w:t>
            </w:r>
            <m:oMath>
              <m:r>
                <m:t>μ</m:t>
              </m:r>
            </m:oMath>
            <w:r>
              <w:rPr>
                <w:rFonts w:ascii="Calibri" w:hAnsi="Calibri"/>
                <w:sz w:val="18"/>
              </w:rPr>
              <w:t xml:space="preserve">s/pkt)</w:t>
            </w:r>
          </w:p>
        </w:tc>
      </w:tr>
    </w:tbl>
    <w:p>
      <w:r>
        <w:pict>
          <v:rect style="width:0;height:1.5pt" o:hralign="center" o:hrstd="t" o:hr="t"/>
        </w:pict>
      </w:r>
    </w:p>
    <w:bookmarkEnd w:id="15"/>
    <w:bookmarkEnd w:id="16"/>
    <w:bookmarkStart w:id="17" w:name="confusion-matrix-decision-path-analysis"/>
    <w:p>
      <w:pPr>
        <w:pStyle w:val="Heading3"/>
      </w:pPr>
      <w:r>
        <w:rPr>
          <w:rStyle w:val="SectionNumber"/>
        </w:rPr>
        <w:t xml:space="preserve">1.1.7</w:t>
      </w:r>
      <w:r>
        <w:tab/>
      </w:r>
      <w:r>
        <w:t xml:space="preserve">6. Confusion Matrix &amp; Decision Path Analysis</w:t>
      </w:r>
    </w:p>
    <w:p>
      <w:pPr>
        <w:pStyle w:val="FirstParagraph"/>
      </w:pPr>
      <w:r>
        <w:t xml:space="preserve">Across 25,674 test packets, Mirai attack classes achieved near-perfect classification (&gt;99.9% precision/recall). Out of 23,653 malicious packets,</w:t>
      </w:r>
      <w:r>
        <w:t xml:space="preserve"> </w:t>
      </w:r>
      <w:r>
        <w:rPr>
          <w:b/>
          <w:bCs/>
        </w:rPr>
        <w:t xml:space="preserve">23,650 were detected correctly</w:t>
      </w:r>
      <w:r>
        <w:t xml:space="preserve"> </w:t>
      </w:r>
      <w:r>
        <w:t xml:space="preserve">(3 misses). Out of 2,021 benign packets,</w:t>
      </w:r>
      <w:r>
        <w:t xml:space="preserve"> </w:t>
      </w:r>
      <w:r>
        <w:rPr>
          <w:b/>
          <w:bCs/>
        </w:rPr>
        <w:t xml:space="preserve">2,015 were classified correctly</w:t>
      </w:r>
      <w:r>
        <w:t xml:space="preserve"> </w:t>
      </w:r>
      <w:r>
        <w:t xml:space="preserve">(6 false alarms).</w:t>
      </w:r>
    </w:p>
    <w:p>
      <w:pPr>
        <w:pStyle w:val="BodyText"/>
      </w:pPr>
      <w:r>
        <w:t xml:space="preserve">Top Gini features:</w:t>
      </w:r>
      <w:r>
        <w:t xml:space="preserve"> </w:t>
      </w:r>
      <w:r>
        <w:t xml:space="preserve">1.</w:t>
      </w:r>
      <w:r>
        <w:t xml:space="preserve"> </w:t>
      </w:r>
      <w:r>
        <w:rPr>
          <w:rStyle w:val="VerbatimChar"/>
        </w:rPr>
        <w:t xml:space="preserve">H_L0.01_mean</w:t>
      </w:r>
      <w:r>
        <w:t xml:space="preserve"> </w:t>
      </w:r>
      <w:r>
        <w:t xml:space="preserve">(0.1811)</w:t>
      </w:r>
      <w:r>
        <w:t xml:space="preserve"> </w:t>
      </w:r>
      <w:r>
        <w:t xml:space="preserve">2.</w:t>
      </w:r>
      <w:r>
        <w:t xml:space="preserve"> </w:t>
      </w:r>
      <w:r>
        <w:rPr>
          <w:rStyle w:val="VerbatimChar"/>
        </w:rPr>
        <w:t xml:space="preserve">MI_dir_L0.01_mean</w:t>
      </w:r>
      <w:r>
        <w:t xml:space="preserve"> </w:t>
      </w:r>
      <w:r>
        <w:t xml:space="preserve">(0.1724)</w:t>
      </w:r>
      <w:r>
        <w:t xml:space="preserve"> </w:t>
      </w:r>
      <w:r>
        <w:t xml:space="preserve">3.</w:t>
      </w:r>
      <w:r>
        <w:t xml:space="preserve"> </w:t>
      </w:r>
      <w:r>
        <w:rPr>
          <w:rStyle w:val="VerbatimChar"/>
        </w:rPr>
        <w:t xml:space="preserve">HH_jit_L1_mean</w:t>
      </w:r>
      <w:r>
        <w:t xml:space="preserve"> </w:t>
      </w:r>
      <w:r>
        <w:t xml:space="preserve">(0.1701)</w:t>
      </w:r>
      <w:r>
        <w:t xml:space="preserve"> </w:t>
      </w:r>
      <w:r>
        <w:t xml:space="preserve">4.</w:t>
      </w:r>
      <w:r>
        <w:t xml:space="preserve"> </w:t>
      </w:r>
      <w:r>
        <w:rPr>
          <w:rStyle w:val="VerbatimChar"/>
        </w:rPr>
        <w:t xml:space="preserve">MI_dir_L0.01_weight</w:t>
      </w:r>
      <w:r>
        <w:t xml:space="preserve"> </w:t>
      </w:r>
      <w:r>
        <w:t xml:space="preserve">(0.1365)</w:t>
      </w:r>
      <w:r>
        <w:t xml:space="preserve"> </w:t>
      </w:r>
      <w:r>
        <w:t xml:space="preserve">5.</w:t>
      </w:r>
      <w:r>
        <w:t xml:space="preserve"> </w:t>
      </w:r>
      <w:r>
        <w:rPr>
          <w:rStyle w:val="VerbatimChar"/>
        </w:rPr>
        <w:t xml:space="preserve">MI_dir_L0.1_weight</w:t>
      </w:r>
      <w:r>
        <w:t xml:space="preserve"> </w:t>
      </w:r>
      <w:r>
        <w:t xml:space="preserve">(0.0865)</w:t>
      </w:r>
    </w:p>
    <w:p>
      <w:pPr>
        <w:pStyle w:val="BodyText"/>
      </w:pPr>
      <w:r>
        <w:t xml:space="preserve">At Node 107, socket-level feature</w:t>
      </w:r>
      <w:r>
        <w:t xml:space="preserve"> </w:t>
      </w:r>
      <w:r>
        <w:rPr>
          <w:rStyle w:val="VerbatimChar"/>
        </w:rPr>
        <w:t xml:space="preserve">HpHp_L1_weight</w:t>
      </w:r>
      <w:r>
        <w:t xml:space="preserve"> </w:t>
      </w:r>
      <w:r>
        <w:t xml:space="preserve">(importance 0.0568) successfully discriminates between Mirai UDP floods and Mirai UDP-plain attacks.</w:t>
      </w:r>
    </w:p>
    <w:p>
      <w:r>
        <w:pict>
          <v:rect style="width:0;height:1.5pt" o:hralign="center" o:hrstd="t" o:hr="t"/>
        </w:pict>
      </w:r>
    </w:p>
    <w:bookmarkEnd w:id="17"/>
    <w:bookmarkStart w:id="18" w:name="Xf2640edd1093bc4e328a5d3a0fe96012a3a4a51"/>
    <w:p>
      <w:pPr>
        <w:pStyle w:val="Heading3"/>
      </w:pPr>
      <w:r>
        <w:rPr>
          <w:rStyle w:val="SectionNumber"/>
        </w:rPr>
        <w:t xml:space="preserve">1.1.8</w:t>
      </w:r>
      <w:r>
        <w:tab/>
      </w:r>
      <w:r>
        <w:t xml:space="preserve">7. Computational Performance &amp; Hardware Viability</w:t>
      </w:r>
    </w:p>
    <w:p>
      <w:pPr>
        <w:pStyle w:val="Compact"/>
        <w:numPr>
          <w:ilvl w:val="0"/>
          <w:numId w:val="1002"/>
        </w:numPr>
      </w:pPr>
      <w:r>
        <w:rPr>
          <w:b/>
          <w:bCs/>
        </w:rPr>
        <w:t xml:space="preserve">Single-Sample Real-Time Latency:</w:t>
      </w:r>
      <w:r>
        <w:t xml:space="preserve"> </w:t>
      </w:r>
      <w:r>
        <w:rPr>
          <w:b/>
          <w:bCs/>
        </w:rPr>
        <w:t xml:space="preserve">34.41</w:t>
      </w:r>
      <w:r>
        <w:rPr>
          <w:b/>
          <w:bCs/>
        </w:rPr>
        <w:t xml:space="preserve"> </w:t>
      </w:r>
      <m:oMath>
        <m:r>
          <m:t>μ</m:t>
        </m:r>
      </m:oMath>
      <w:r>
        <w:rPr>
          <w:b/>
          <w:bCs/>
        </w:rPr>
        <w:t xml:space="preserve">s</w:t>
      </w:r>
      <w:r>
        <w:t xml:space="preserve">, easily supporting inline packet processing.</w:t>
      </w:r>
    </w:p>
    <w:p>
      <w:pPr>
        <w:pStyle w:val="Compact"/>
        <w:numPr>
          <w:ilvl w:val="0"/>
          <w:numId w:val="1002"/>
        </w:numPr>
      </w:pPr>
      <w:r>
        <w:rPr>
          <w:b/>
          <w:bCs/>
        </w:rPr>
        <w:t xml:space="preserve">Batch Throughput:</w:t>
      </w:r>
      <w:r>
        <w:t xml:space="preserve"> </w:t>
      </w:r>
      <w:r>
        <w:rPr>
          <w:b/>
          <w:bCs/>
        </w:rPr>
        <w:t xml:space="preserve">12,036,209 packets/sec</w:t>
      </w:r>
      <w:r>
        <w:t xml:space="preserve">, exceeding Gigabit Ethernet line rate (1.488M pkts/s) by 8x.</w:t>
      </w:r>
    </w:p>
    <w:p>
      <w:pPr>
        <w:pStyle w:val="Compact"/>
        <w:numPr>
          <w:ilvl w:val="0"/>
          <w:numId w:val="1002"/>
        </w:numPr>
      </w:pPr>
      <w:r>
        <w:rPr>
          <w:b/>
          <w:bCs/>
        </w:rPr>
        <w:t xml:space="preserve">Memory Footprint:</w:t>
      </w:r>
      <w:r>
        <w:t xml:space="preserve"> </w:t>
      </w:r>
      <w:r>
        <w:t xml:space="preserve">5.44 KB serialized binary,</w:t>
      </w:r>
      <w:r>
        <w:t xml:space="preserve"> </w:t>
      </w:r>
      <m:oMath>
        <m:r>
          <m:rPr>
            <m:sty m:val="p"/>
          </m:rPr>
          <m:t>&lt;</m:t>
        </m:r>
        <m:r>
          <m:t>100</m:t>
        </m:r>
        <m:r>
          <m:rPr>
            <m:nor/>
            <m:sty m:val="p"/>
          </m:rPr>
          <m:t> KB</m:t>
        </m:r>
      </m:oMath>
      <w:r>
        <w:t xml:space="preserve"> </w:t>
      </w:r>
      <w:r>
        <w:t xml:space="preserve">active RAM.</w:t>
      </w:r>
    </w:p>
    <w:p>
      <w:r>
        <w:pict>
          <v:rect style="width:0;height:1.5pt" o:hralign="center" o:hrstd="t" o:hr="t"/>
        </w:pict>
      </w:r>
    </w:p>
    <w:bookmarkEnd w:id="18"/>
    <w:bookmarkStart w:id="19" w:name="limitations-threats-to-validity"/>
    <w:p>
      <w:pPr>
        <w:pStyle w:val="Heading3"/>
      </w:pPr>
      <w:r>
        <w:rPr>
          <w:rStyle w:val="SectionNumber"/>
        </w:rPr>
        <w:t xml:space="preserve">1.1.9</w:t>
      </w:r>
      <w:r>
        <w:tab/>
      </w:r>
      <w:r>
        <w:t xml:space="preserve">8. Limitations &amp; Threats to Validity</w:t>
      </w:r>
    </w:p>
    <w:p>
      <w:pPr>
        <w:pStyle w:val="Compact"/>
        <w:numPr>
          <w:ilvl w:val="0"/>
          <w:numId w:val="1003"/>
        </w:numPr>
      </w:pPr>
      <w:r>
        <w:t xml:space="preserve">Subsampling to 128,366 rows was necessitated by local RAM limits.</w:t>
      </w:r>
    </w:p>
    <w:p>
      <w:pPr>
        <w:pStyle w:val="Compact"/>
        <w:numPr>
          <w:ilvl w:val="0"/>
          <w:numId w:val="1003"/>
        </w:numPr>
      </w:pPr>
      <w:r>
        <w:t xml:space="preserve">Latency benchmarks evaluate tree walk; upstream Kitsune feature extraction requires separate processing.</w:t>
      </w:r>
    </w:p>
    <w:p>
      <w:pPr>
        <w:pStyle w:val="Compact"/>
        <w:numPr>
          <w:ilvl w:val="0"/>
          <w:numId w:val="1003"/>
        </w:numPr>
      </w:pPr>
      <w:r>
        <w:t xml:space="preserve">Testbed telemetry may have lower background noise than active enterprise networks.</w:t>
      </w:r>
    </w:p>
    <w:p>
      <w:r>
        <w:pict>
          <v:rect style="width:0;height:1.5pt" o:hralign="center" o:hrstd="t" o:hr="t"/>
        </w:pict>
      </w:r>
    </w:p>
    <w:bookmarkEnd w:id="19"/>
    <w:bookmarkStart w:id="20" w:name="conclusion"/>
    <w:p>
      <w:pPr>
        <w:pStyle w:val="Heading3"/>
      </w:pPr>
      <w:r>
        <w:rPr>
          <w:rStyle w:val="SectionNumber"/>
        </w:rPr>
        <w:t xml:space="preserve">1.1.10</w:t>
      </w:r>
      <w:r>
        <w:tab/>
      </w:r>
      <w:r>
        <w:t xml:space="preserve">9. Conclusion</w:t>
      </w:r>
    </w:p>
    <w:p>
      <w:pPr>
        <w:pStyle w:val="FirstParagraph"/>
      </w:pPr>
      <w:r>
        <w:t xml:space="preserve">Cost-complexity pruned CART decision trees provide a mathematically grounded, highly accurate (99.62% multiclass, 99.96% binary), and computationally lightweight solution for IoT edge intrusion detection. Tuning</w:t>
      </w:r>
      <w:r>
        <w:t xml:space="preserve"> </w:t>
      </w:r>
      <m:oMath>
        <m:r>
          <m:t>c</m:t>
        </m:r>
        <m:r>
          <m:t>c</m:t>
        </m:r>
        <m:r>
          <m:t>p</m:t>
        </m:r>
        <m:r>
          <m:rPr>
            <m:sty m:val="p"/>
          </m:rPr>
          <m:t>_</m:t>
        </m:r>
        <m:r>
          <m:t>α</m:t>
        </m:r>
      </m:oMath>
      <w:r>
        <w:t xml:space="preserve"> </w:t>
      </w:r>
      <w:r>
        <w:t xml:space="preserve">successfully reduced tree depth by 14.3% and eliminated 26.5% of nodes while mitigating overfitting.</w:t>
      </w:r>
    </w:p>
    <w:p>
      <w:r>
        <w:pict>
          <v:rect style="width:0;height:1.5pt" o:hralign="center" o:hrstd="t" o:hr="t"/>
        </w:pict>
      </w:r>
    </w:p>
    <w:bookmarkEnd w:id="20"/>
    <w:bookmarkStart w:id="21" w:name="references"/>
    <w:p>
      <w:pPr>
        <w:pStyle w:val="Heading3"/>
      </w:pPr>
      <w:r>
        <w:rPr>
          <w:rStyle w:val="SectionNumber"/>
        </w:rPr>
        <w:t xml:space="preserve">1.1.11</w:t>
      </w:r>
      <w:r>
        <w:tab/>
      </w:r>
      <w:r>
        <w:t xml:space="preserve">10. References</w:t>
      </w:r>
    </w:p>
    <w:p>
      <w:pPr>
        <w:pStyle w:val="Compact"/>
        <w:numPr>
          <w:ilvl w:val="0"/>
          <w:numId w:val="1004"/>
        </w:numPr>
      </w:pPr>
      <w:r>
        <w:t xml:space="preserve">Y. Meidan et al.,</w:t>
      </w:r>
      <w:r>
        <w:t xml:space="preserve"> </w:t>
      </w:r>
      <w:r>
        <w:t xml:space="preserve">“N-BaIoT: Network-based detection of IoT botnet attacks using deep autoencoders,”</w:t>
      </w:r>
      <w:r>
        <w:t xml:space="preserve"> </w:t>
      </w:r>
      <w:r>
        <w:rPr>
          <w:i/>
          <w:iCs/>
        </w:rPr>
        <w:t xml:space="preserve">IEEE Pervasive Computing</w:t>
      </w:r>
      <w:r>
        <w:t xml:space="preserve">, 2018.</w:t>
      </w:r>
    </w:p>
    <w:p>
      <w:pPr>
        <w:pStyle w:val="Compact"/>
        <w:numPr>
          <w:ilvl w:val="0"/>
          <w:numId w:val="1004"/>
        </w:numPr>
      </w:pPr>
      <w:r>
        <w:t xml:space="preserve">M. Shafiq et al.,</w:t>
      </w:r>
      <w:r>
        <w:t xml:space="preserve"> </w:t>
      </w:r>
      <w:r>
        <w:t xml:space="preserve">“CORRAUC: A malicious bot-IoT traffic detection method in IoT network,”</w:t>
      </w:r>
      <w:r>
        <w:t xml:space="preserve"> </w:t>
      </w:r>
      <w:r>
        <w:rPr>
          <w:i/>
          <w:iCs/>
        </w:rPr>
        <w:t xml:space="preserve">IEEE IoTJ</w:t>
      </w:r>
      <w:r>
        <w:t xml:space="preserve">, 2021.</w:t>
      </w:r>
    </w:p>
    <w:p>
      <w:pPr>
        <w:pStyle w:val="Compact"/>
        <w:numPr>
          <w:ilvl w:val="0"/>
          <w:numId w:val="1004"/>
        </w:numPr>
      </w:pPr>
      <w:r>
        <w:t xml:space="preserve">A. Moubayed et al.,</w:t>
      </w:r>
      <w:r>
        <w:t xml:space="preserve"> </w:t>
      </w:r>
      <w:r>
        <w:t xml:space="preserve">“Optimized machine learning-based network intrusion detection for IoT networks,”</w:t>
      </w:r>
      <w:r>
        <w:t xml:space="preserve"> </w:t>
      </w:r>
      <w:r>
        <w:rPr>
          <w:i/>
          <w:iCs/>
        </w:rPr>
        <w:t xml:space="preserve">IEEE IoTJ</w:t>
      </w:r>
      <w:r>
        <w:t xml:space="preserve">, 2020.</w:t>
      </w:r>
    </w:p>
    <w:p>
      <w:pPr>
        <w:pStyle w:val="Compact"/>
        <w:numPr>
          <w:ilvl w:val="0"/>
          <w:numId w:val="1004"/>
        </w:numPr>
      </w:pPr>
      <w:r>
        <w:t xml:space="preserve">L. Breiman et al.,</w:t>
      </w:r>
      <w:r>
        <w:t xml:space="preserve"> </w:t>
      </w:r>
      <w:r>
        <w:rPr>
          <w:i/>
          <w:iCs/>
        </w:rPr>
        <w:t xml:space="preserve">Classification and Regression Trees</w:t>
      </w:r>
      <w:r>
        <w:t xml:space="preserve">, CRC Press, 1984.</w:t>
      </w:r>
    </w:p>
    <w:bookmarkEnd w:id="21"/>
    <w:bookmarkEnd w:id="22"/>
    <w:bookmarkEnd w:id="23"/>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2026-10-01T05:01:17Z</dcterms:created>
  <dcterms:modified xsi:type="dcterms:W3CDTF">2026-10-01T05:01:17Z</dcterms:modified>
</cp:coreProperties>
</file>

<file path=docProps/custom.xml><?xml version="1.0" encoding="utf-8"?>
<Properties xmlns="http://schemas.openxmlformats.org/officeDocument/2006/custom-properties" xmlns:vt="http://schemas.openxmlformats.org/officeDocument/2006/docPropsVTypes"/>
</file>