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X4f95837c3131d9ff596ce6f7c97514956caa805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5.2 Computational Overhead &amp; Hardware Latency Analysis</w:t>
      </w:r>
    </w:p>
    <w:bookmarkStart w:id="9" w:name="Xb0c44c91ff568bc66c8a2ddbe9fe34ba7260eb3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5.2.1 Experimental Hardware &amp; Software Environment</w:t>
      </w:r>
    </w:p>
    <w:p>
      <w:pPr>
        <w:pStyle w:val="FirstParagraph"/>
      </w:pPr>
      <w:r>
        <w:t xml:space="preserve">All empirical benchmarks were executed on the local evaluation host without simulated hardware approximations. The exact runtime parameters are detailed below: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 xml:space="preserve">System Property</w:t>
            </w:r>
          </w:p>
        </w:tc>
        <w:tc>
          <w:tcPr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 xml:space="preserve">Specification</w:t>
            </w:r>
          </w:p>
        </w:tc>
      </w:tr>
      <w:tr>
        <w:tc>
          <w:tcPr>
            <w:shd w:fill="F2F5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pStyle w:val="Compact"/>
              <w:jc w:val="left"/>
            </w:pPr>
            <w:r>
              <w:rPr>
                <w:rFonts w:ascii="Calibri" w:hAnsi="Calibri"/>
                <w:b/>
                <w:bCs/>
                <w:sz w:val="18"/>
              </w:rPr>
              <w:t xml:space="preserve">Operating System</w:t>
            </w:r>
          </w:p>
        </w:tc>
        <w:tc>
          <w:tcPr>
            <w:shd w:fill="F2F5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Darwin 27.0.0 (Darwin Kernel Version 27.0.0: Tue Aug 11 21:02:57 PDT 2026; root:xnu-13432.1.9~1/RELEASE_ARM64_T8132)</w:t>
            </w:r>
          </w:p>
        </w:tc>
      </w:tr>
      <w:tr>
        <w:tc>
          <w:tcPr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pStyle w:val="Compact"/>
              <w:jc w:val="left"/>
            </w:pPr>
            <w:r>
              <w:rPr>
                <w:rFonts w:ascii="Calibri" w:hAnsi="Calibri"/>
                <w:b/>
                <w:bCs/>
                <w:sz w:val="18"/>
              </w:rPr>
              <w:t xml:space="preserve">Hardware Architecture</w:t>
            </w:r>
          </w:p>
        </w:tc>
        <w:tc>
          <w:tcPr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arm64 (Apple Silicon)</w:t>
            </w:r>
          </w:p>
        </w:tc>
      </w:tr>
      <w:tr>
        <w:tc>
          <w:tcPr>
            <w:shd w:fill="F2F5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pStyle w:val="Compact"/>
              <w:jc w:val="left"/>
            </w:pPr>
            <w:r>
              <w:rPr>
                <w:rFonts w:ascii="Calibri" w:hAnsi="Calibri"/>
                <w:b/>
                <w:bCs/>
                <w:sz w:val="18"/>
              </w:rPr>
              <w:t xml:space="preserve">Physical / Logical Cores</w:t>
            </w:r>
          </w:p>
        </w:tc>
        <w:tc>
          <w:tcPr>
            <w:shd w:fill="F2F5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10 Physical / 10 Logical</w:t>
            </w:r>
          </w:p>
        </w:tc>
      </w:tr>
      <w:tr>
        <w:tc>
          <w:tcPr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pStyle w:val="Compact"/>
              <w:jc w:val="left"/>
            </w:pPr>
            <w:r>
              <w:rPr>
                <w:rFonts w:ascii="Calibri" w:hAnsi="Calibri"/>
                <w:b/>
                <w:bCs/>
                <w:sz w:val="18"/>
              </w:rPr>
              <w:t xml:space="preserve">System Memory (RAM)</w:t>
            </w:r>
          </w:p>
        </w:tc>
        <w:tc>
          <w:tcPr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16.0 GB Total (4.9 GB Free at execution)</w:t>
            </w:r>
          </w:p>
        </w:tc>
      </w:tr>
      <w:tr>
        <w:tc>
          <w:tcPr>
            <w:shd w:fill="F2F5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pStyle w:val="Compact"/>
              <w:jc w:val="left"/>
            </w:pPr>
            <w:r>
              <w:rPr>
                <w:rFonts w:ascii="Calibri" w:hAnsi="Calibri"/>
                <w:b/>
                <w:bCs/>
                <w:sz w:val="18"/>
              </w:rPr>
              <w:t xml:space="preserve">Python Environment</w:t>
            </w:r>
          </w:p>
        </w:tc>
        <w:tc>
          <w:tcPr>
            <w:shd w:fill="F2F5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Python 3.13.9</w:t>
            </w:r>
          </w:p>
        </w:tc>
      </w:tr>
      <w:tr>
        <w:tc>
          <w:tcPr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pStyle w:val="Compact"/>
              <w:jc w:val="left"/>
            </w:pPr>
            <w:r>
              <w:rPr>
                <w:rFonts w:ascii="Calibri" w:hAnsi="Calibri"/>
                <w:b/>
                <w:bCs/>
                <w:sz w:val="18"/>
              </w:rPr>
              <w:t xml:space="preserve">Machine Learning Engine</w:t>
            </w:r>
          </w:p>
        </w:tc>
        <w:tc>
          <w:tcPr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scikit-learn 1.7.2, NumPy 2.3.5, Pandas 2.3.3</w:t>
            </w:r>
          </w:p>
        </w:tc>
      </w:tr>
    </w:tbl>
    <w:bookmarkEnd w:id="9"/>
    <w:bookmarkStart w:id="10" w:name="training-computational-cost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5.2.2 Training Computational Cost</w:t>
      </w:r>
    </w:p>
    <w:p>
      <w:pPr>
        <w:pStyle w:val="FirstParagraph"/>
      </w:pPr>
      <w:r>
        <w:t xml:space="preserve">Training was conducted over 102,692 packets across 115 network traffic statistical features. Measured across 5 independent runs with variable seeds: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Baseline Unpruned Tree Training Time:</w:t>
      </w:r>
      <w:r>
        <w:t xml:space="preserve"> </w:t>
      </w:r>
      <w:r>
        <w:t xml:space="preserve">5.8516 s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0.0456 s (17,549 samples/s)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Pruned Decision Tree Training Time:</w:t>
      </w:r>
      <w:r>
        <w:t xml:space="preserve"> </w:t>
      </w:r>
      <w:r>
        <w:t xml:space="preserve">5.9111 s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0.1017 s (17,373 samples/s)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Pruning Overhead:</w:t>
      </w:r>
      <w:r>
        <w:t xml:space="preserve"> </w:t>
      </w:r>
      <w:r>
        <w:t xml:space="preserve">Cost-complexity pruning path computation required 4.18 s once on the baseline tree, while subsequent fitting with the optimal parameter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1.9998</m:t>
        </m:r>
        <m:r>
          <m:t>e</m:t>
        </m:r>
        <m:r>
          <m:rPr>
            <m:sty m:val="p"/>
          </m:rPr>
          <m:t>−</m:t>
        </m:r>
        <m:r>
          <m:t>05</m:t>
        </m:r>
      </m:oMath>
      <w:r>
        <w:t xml:space="preserve"> </w:t>
      </w:r>
      <w:r>
        <w:t xml:space="preserve">incurs zero runtime penalty compared to standard greedy growth.</w:t>
      </w:r>
    </w:p>
    <w:bookmarkEnd w:id="10"/>
    <w:bookmarkStart w:id="11" w:name="X3ff5da3fa36c55445dde8ff3a046b70696f5e0c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5.2.3 Inference Latency and Throughput Profiling</w:t>
      </w:r>
    </w:p>
    <w:p>
      <w:pPr>
        <w:pStyle w:val="FirstParagraph"/>
      </w:pPr>
      <w:r>
        <w:t xml:space="preserve">To evaluate operational viability for IoT gateway deployment, inference time was profiled across variable packet batch sizes: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 xml:space="preserve">Batch Size</w:t>
            </w:r>
          </w:p>
        </w:tc>
        <w:tc>
          <w:tcPr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 xml:space="preserve">Pruned Batch Time (ms)</w:t>
            </w:r>
          </w:p>
        </w:tc>
        <w:tc>
          <w:tcPr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 xml:space="preserve">Per-Sample Latency (</w:t>
            </w:r>
            <m:oMath>
              <m:r>
                <m:t>μ</m:t>
              </m:r>
            </m:oMath>
            <w:r>
              <w:rPr>
                <w:rFonts w:ascii="Calibri" w:hAnsi="Calibri"/>
                <w:b/>
                <w:color w:val="FFFFFF"/>
                <w:sz w:val="19"/>
              </w:rPr>
              <w:t xml:space="preserve">s)</w:t>
            </w:r>
          </w:p>
        </w:tc>
        <w:tc>
          <w:tcPr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 xml:space="preserve">Throughput (Packets/s)</w:t>
            </w:r>
          </w:p>
        </w:tc>
        <w:tc>
          <w:tcPr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 xml:space="preserve">Speedup vs Baseline</w:t>
            </w:r>
          </w:p>
        </w:tc>
      </w:tr>
      <w:tr>
        <w:tc>
          <w:tcPr>
            <w:shd w:fill="F2F5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bCs/>
                <w:sz w:val="18"/>
              </w:rPr>
              <w:t xml:space="preserve">1 (Real-Time)</w:t>
            </w:r>
          </w:p>
        </w:tc>
        <w:tc>
          <w:tcPr>
            <w:shd w:fill="F2F5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sz w:val="18"/>
              </w:rPr>
              <w:t xml:space="preserve">0.0344 ms</w:t>
            </w:r>
          </w:p>
        </w:tc>
        <w:tc>
          <w:tcPr>
            <w:shd w:fill="F2F5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sz w:val="18"/>
              </w:rPr>
              <w:t xml:space="preserve">34.41</w:t>
            </w:r>
            <w:r>
              <w:rPr>
                <w:rFonts w:ascii="Calibri" w:hAnsi="Calibri"/>
                <w:sz w:val="18"/>
              </w:rPr>
              <w:t xml:space="preserve"> </w:t>
            </w:r>
            <m:oMath>
              <m:r>
                <m:t>μ</m:t>
              </m:r>
            </m:oMath>
            <w:r>
              <w:rPr>
                <w:rFonts w:ascii="Calibri" w:hAnsi="Calibri"/>
                <w:sz w:val="18"/>
              </w:rPr>
              <w:t xml:space="preserve">s</w:t>
            </w:r>
          </w:p>
        </w:tc>
        <w:tc>
          <w:tcPr>
            <w:shd w:fill="F2F5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sz w:val="18"/>
              </w:rPr>
              <w:t xml:space="preserve">29,062</w:t>
            </w:r>
          </w:p>
        </w:tc>
        <w:tc>
          <w:tcPr>
            <w:shd w:fill="F2F5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sz w:val="18"/>
              </w:rPr>
              <w:t xml:space="preserve">13.42%</w:t>
            </w:r>
          </w:p>
        </w:tc>
      </w:tr>
      <w:tr>
        <w:tc>
          <w:tcPr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bCs/>
                <w:sz w:val="18"/>
              </w:rPr>
              <w:t xml:space="preserve">10</w:t>
            </w:r>
          </w:p>
        </w:tc>
        <w:tc>
          <w:tcPr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sz w:val="18"/>
              </w:rPr>
              <w:t xml:space="preserve">0.0337 ms</w:t>
            </w:r>
          </w:p>
        </w:tc>
        <w:tc>
          <w:tcPr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sz w:val="18"/>
              </w:rPr>
              <w:t xml:space="preserve">3.37</w:t>
            </w:r>
            <w:r>
              <w:rPr>
                <w:rFonts w:ascii="Calibri" w:hAnsi="Calibri"/>
                <w:sz w:val="18"/>
              </w:rPr>
              <w:t xml:space="preserve"> </w:t>
            </w:r>
            <m:oMath>
              <m:r>
                <m:t>μ</m:t>
              </m:r>
            </m:oMath>
            <w:r>
              <w:rPr>
                <w:rFonts w:ascii="Calibri" w:hAnsi="Calibri"/>
                <w:sz w:val="18"/>
              </w:rPr>
              <w:t xml:space="preserve">s</w:t>
            </w:r>
          </w:p>
        </w:tc>
        <w:tc>
          <w:tcPr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sz w:val="18"/>
              </w:rPr>
              <w:t xml:space="preserve">296,626</w:t>
            </w:r>
          </w:p>
        </w:tc>
        <w:tc>
          <w:tcPr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sz w:val="18"/>
              </w:rPr>
              <w:t xml:space="preserve">6.81%</w:t>
            </w:r>
          </w:p>
        </w:tc>
      </w:tr>
      <w:tr>
        <w:tc>
          <w:tcPr>
            <w:shd w:fill="F2F5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bCs/>
                <w:sz w:val="18"/>
              </w:rPr>
              <w:t xml:space="preserve">100</w:t>
            </w:r>
          </w:p>
        </w:tc>
        <w:tc>
          <w:tcPr>
            <w:shd w:fill="F2F5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sz w:val="18"/>
              </w:rPr>
              <w:t xml:space="preserve">0.0411 ms</w:t>
            </w:r>
          </w:p>
        </w:tc>
        <w:tc>
          <w:tcPr>
            <w:shd w:fill="F2F5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sz w:val="18"/>
              </w:rPr>
              <w:t xml:space="preserve">0.41</w:t>
            </w:r>
            <w:r>
              <w:rPr>
                <w:rFonts w:ascii="Calibri" w:hAnsi="Calibri"/>
                <w:sz w:val="18"/>
              </w:rPr>
              <w:t xml:space="preserve"> </w:t>
            </w:r>
            <m:oMath>
              <m:r>
                <m:t>μ</m:t>
              </m:r>
            </m:oMath>
            <w:r>
              <w:rPr>
                <w:rFonts w:ascii="Calibri" w:hAnsi="Calibri"/>
                <w:sz w:val="18"/>
              </w:rPr>
              <w:t xml:space="preserve">s</w:t>
            </w:r>
          </w:p>
        </w:tc>
        <w:tc>
          <w:tcPr>
            <w:shd w:fill="F2F5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sz w:val="18"/>
              </w:rPr>
              <w:t xml:space="preserve">2,434,021</w:t>
            </w:r>
          </w:p>
        </w:tc>
        <w:tc>
          <w:tcPr>
            <w:shd w:fill="F2F5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sz w:val="18"/>
              </w:rPr>
              <w:t xml:space="preserve">-8.02%</w:t>
            </w:r>
          </w:p>
        </w:tc>
      </w:tr>
      <w:tr>
        <w:tc>
          <w:tcPr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bCs/>
                <w:sz w:val="18"/>
              </w:rPr>
              <w:t xml:space="preserve">1,000</w:t>
            </w:r>
          </w:p>
        </w:tc>
        <w:tc>
          <w:tcPr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sz w:val="18"/>
              </w:rPr>
              <w:t xml:space="preserve">0.0920 ms</w:t>
            </w:r>
          </w:p>
        </w:tc>
        <w:tc>
          <w:tcPr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sz w:val="18"/>
              </w:rPr>
              <w:t xml:space="preserve">0.09</w:t>
            </w:r>
            <w:r>
              <w:rPr>
                <w:rFonts w:ascii="Calibri" w:hAnsi="Calibri"/>
                <w:sz w:val="18"/>
              </w:rPr>
              <w:t xml:space="preserve"> </w:t>
            </w:r>
            <m:oMath>
              <m:r>
                <m:t>μ</m:t>
              </m:r>
            </m:oMath>
            <w:r>
              <w:rPr>
                <w:rFonts w:ascii="Calibri" w:hAnsi="Calibri"/>
                <w:sz w:val="18"/>
              </w:rPr>
              <w:t xml:space="preserve">s</w:t>
            </w:r>
          </w:p>
        </w:tc>
        <w:tc>
          <w:tcPr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sz w:val="18"/>
              </w:rPr>
              <w:t xml:space="preserve">10,874,591</w:t>
            </w:r>
          </w:p>
        </w:tc>
        <w:tc>
          <w:tcPr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sz w:val="18"/>
              </w:rPr>
              <w:t xml:space="preserve">-1.11%</w:t>
            </w:r>
          </w:p>
        </w:tc>
      </w:tr>
      <w:tr>
        <w:tc>
          <w:tcPr>
            <w:shd w:fill="F2F5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bCs/>
                <w:sz w:val="18"/>
              </w:rPr>
              <w:t xml:space="preserve">10,000</w:t>
            </w:r>
          </w:p>
        </w:tc>
        <w:tc>
          <w:tcPr>
            <w:shd w:fill="F2F5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sz w:val="18"/>
              </w:rPr>
              <w:t xml:space="preserve">0.6677 ms</w:t>
            </w:r>
          </w:p>
        </w:tc>
        <w:tc>
          <w:tcPr>
            <w:shd w:fill="F2F5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sz w:val="18"/>
              </w:rPr>
              <w:t xml:space="preserve">0.07</w:t>
            </w:r>
            <w:r>
              <w:rPr>
                <w:rFonts w:ascii="Calibri" w:hAnsi="Calibri"/>
                <w:sz w:val="18"/>
              </w:rPr>
              <w:t xml:space="preserve"> </w:t>
            </w:r>
            <m:oMath>
              <m:r>
                <m:t>μ</m:t>
              </m:r>
            </m:oMath>
            <w:r>
              <w:rPr>
                <w:rFonts w:ascii="Calibri" w:hAnsi="Calibri"/>
                <w:sz w:val="18"/>
              </w:rPr>
              <w:t xml:space="preserve">s</w:t>
            </w:r>
          </w:p>
        </w:tc>
        <w:tc>
          <w:tcPr>
            <w:shd w:fill="F2F5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sz w:val="18"/>
              </w:rPr>
              <w:t xml:space="preserve">14,977,408</w:t>
            </w:r>
          </w:p>
        </w:tc>
        <w:tc>
          <w:tcPr>
            <w:shd w:fill="F2F5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sz w:val="18"/>
              </w:rPr>
              <w:t xml:space="preserve">-3.83%</w:t>
            </w:r>
          </w:p>
        </w:tc>
      </w:tr>
      <w:tr>
        <w:tc>
          <w:tcPr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bCs/>
                <w:sz w:val="18"/>
              </w:rPr>
              <w:t xml:space="preserve">Full Set (25,674)</w:t>
            </w:r>
          </w:p>
        </w:tc>
        <w:tc>
          <w:tcPr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sz w:val="18"/>
              </w:rPr>
              <w:t xml:space="preserve">2.1331 ms</w:t>
            </w:r>
          </w:p>
        </w:tc>
        <w:tc>
          <w:tcPr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sz w:val="18"/>
              </w:rPr>
              <w:t xml:space="preserve">0.083</w:t>
            </w:r>
            <w:r>
              <w:rPr>
                <w:rFonts w:ascii="Calibri" w:hAnsi="Calibri"/>
                <w:sz w:val="18"/>
              </w:rPr>
              <w:t xml:space="preserve"> </w:t>
            </w:r>
            <m:oMath>
              <m:r>
                <m:t>μ</m:t>
              </m:r>
            </m:oMath>
            <w:r>
              <w:rPr>
                <w:rFonts w:ascii="Calibri" w:hAnsi="Calibri"/>
                <w:sz w:val="18"/>
              </w:rPr>
              <w:t xml:space="preserve">s</w:t>
            </w:r>
          </w:p>
        </w:tc>
        <w:tc>
          <w:tcPr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sz w:val="18"/>
              </w:rPr>
              <w:t xml:space="preserve">12,036,209</w:t>
            </w:r>
          </w:p>
        </w:tc>
        <w:tc>
          <w:tcPr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sz w:val="18"/>
              </w:rPr>
              <w:t xml:space="preserve">7.13%</w:t>
            </w:r>
          </w:p>
        </w:tc>
      </w:tr>
    </w:tbl>
    <w:bookmarkEnd w:id="11"/>
    <w:bookmarkStart w:id="12" w:name="X55c98e2358799f67887cb0fb30c40657b9707e6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5.2.4 Effect of Cost-Complexity Pruning on Computational Overhead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Tree Depth Reduction:</w:t>
      </w:r>
      <w:r>
        <w:t xml:space="preserve"> </w:t>
      </w:r>
      <w:r>
        <w:t xml:space="preserve">Pruning reduced maximum decision depth from 21 to 18 levels (-14.3%), guaranteeing an upper bound of at most 18 scalar comparison operations per packet classification.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Structural Pruning:</w:t>
      </w:r>
      <w:r>
        <w:t xml:space="preserve"> </w:t>
      </w:r>
      <w:r>
        <w:t xml:space="preserve">Node count decreased from 181 to 133 (-26.5%), and terminal leaves shrank from 91 to 67 (-26.4%).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Memory Footprint:</w:t>
      </w:r>
      <w:r>
        <w:t xml:space="preserve"> </w:t>
      </w:r>
      <w:r>
        <w:t xml:space="preserve">The serialized model file occupies only</w:t>
      </w:r>
      <w:r>
        <w:t xml:space="preserve"> </w:t>
      </w:r>
      <w:r>
        <w:rPr>
          <w:b/>
          <w:bCs/>
        </w:rPr>
        <w:t xml:space="preserve">5.44 KB</w:t>
      </w:r>
      <w:r>
        <w:t xml:space="preserve"> </w:t>
      </w:r>
      <w:r>
        <w:t xml:space="preserve">on disk (and &lt; 100 KB in RAM), easily fitting inside L1/L2 CPU caches or microcontroller flash memory.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Line-Rate Suitability:</w:t>
      </w:r>
      <w:r>
        <w:t xml:space="preserve"> </w:t>
      </w:r>
      <w:r>
        <w:t xml:space="preserve">At batch processing, the pruned model processes over</w:t>
      </w:r>
      <w:r>
        <w:t xml:space="preserve"> </w:t>
      </w:r>
      <w:r>
        <w:rPr>
          <w:b/>
          <w:bCs/>
        </w:rPr>
        <w:t xml:space="preserve">12,036,209 packets/second</w:t>
      </w:r>
      <w:r>
        <w:t xml:space="preserve">, exceeding standard Gigabit Ethernet wire speeds (~1.488 million packets/second for 64-byte packets) by more than 6x.</w:t>
      </w:r>
    </w:p>
    <w:bookmarkEnd w:id="12"/>
    <w:bookmarkStart w:id="13" w:name="X460e50744f485bff673890b0c98bd3927f06476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5.2.5 Comparative Algorithm Benchmark Matrix (Group 1 vs Other Project Groups)</w:t>
      </w:r>
    </w:p>
    <w:p>
      <w:pPr>
        <w:pStyle w:val="FirstParagraph"/>
      </w:pPr>
      <w:r>
        <w:t xml:space="preserve">The measured metrics for Group 1 (Decision Tree) are summarized below, alongside the standardized template reserved for peer project groups: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812"/>
        <w:gridCol w:w="1015"/>
        <w:gridCol w:w="1015"/>
        <w:gridCol w:w="1015"/>
        <w:gridCol w:w="1015"/>
        <w:gridCol w:w="1015"/>
        <w:gridCol w:w="1015"/>
        <w:gridCol w:w="1015"/>
      </w:tblGrid>
      <w:tr>
        <w:trPr>
          <w:tblHeader w:val="on"/>
        </w:trPr>
        <w:tc>
          <w:tcPr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 xml:space="preserve">Model Architecture</w:t>
            </w:r>
          </w:p>
        </w:tc>
        <w:tc>
          <w:tcPr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 xml:space="preserve">Implementation Group</w:t>
            </w:r>
          </w:p>
        </w:tc>
        <w:tc>
          <w:tcPr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 xml:space="preserve">Training Time (s)</w:t>
            </w:r>
          </w:p>
        </w:tc>
        <w:tc>
          <w:tcPr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 xml:space="preserve">Single-Packet Latency</w:t>
            </w:r>
          </w:p>
        </w:tc>
        <w:tc>
          <w:tcPr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 xml:space="preserve">Batch Throughput</w:t>
            </w:r>
          </w:p>
        </w:tc>
        <w:tc>
          <w:tcPr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 xml:space="preserve">Model Size</w:t>
            </w:r>
          </w:p>
        </w:tc>
        <w:tc>
          <w:tcPr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 xml:space="preserve">Macro F1-Score</w:t>
            </w:r>
          </w:p>
        </w:tc>
        <w:tc>
          <w:tcPr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 xml:space="preserve">Binary Accuracy</w:t>
            </w:r>
          </w:p>
        </w:tc>
      </w:tr>
      <w:tr>
        <w:tc>
          <w:tcPr>
            <w:shd w:fill="F2F5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pStyle w:val="Compact"/>
              <w:jc w:val="left"/>
            </w:pPr>
            <w:r>
              <w:rPr>
                <w:rFonts w:ascii="Calibri" w:hAnsi="Calibri"/>
                <w:b/>
                <w:bCs/>
                <w:sz w:val="18"/>
              </w:rPr>
              <w:t xml:space="preserve">Pruned Decision Tree (CART)</w:t>
            </w:r>
          </w:p>
        </w:tc>
        <w:tc>
          <w:tcPr>
            <w:shd w:fill="F2F5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bCs/>
                <w:sz w:val="18"/>
              </w:rPr>
              <w:t xml:space="preserve">Group 1 (Ours)</w:t>
            </w:r>
          </w:p>
        </w:tc>
        <w:tc>
          <w:tcPr>
            <w:shd w:fill="F2F5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bCs/>
                <w:sz w:val="18"/>
              </w:rPr>
              <w:t xml:space="preserve">5.911 s</w:t>
            </w:r>
          </w:p>
        </w:tc>
        <w:tc>
          <w:tcPr>
            <w:shd w:fill="F2F5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bCs/>
                <w:sz w:val="18"/>
              </w:rPr>
              <w:t xml:space="preserve">34.41</w:t>
            </w:r>
            <w:r>
              <w:rPr>
                <w:rFonts w:ascii="Calibri" w:hAnsi="Calibri"/>
                <w:b/>
                <w:bCs/>
                <w:sz w:val="18"/>
              </w:rPr>
              <w:t xml:space="preserve"> </w:t>
            </w:r>
            <m:oMath>
              <m:r>
                <m:t>μ</m:t>
              </m:r>
            </m:oMath>
            <w:r>
              <w:rPr>
                <w:rFonts w:ascii="Calibri" w:hAnsi="Calibri"/>
                <w:b/>
                <w:bCs/>
                <w:sz w:val="18"/>
              </w:rPr>
              <w:t xml:space="preserve">s</w:t>
            </w:r>
          </w:p>
        </w:tc>
        <w:tc>
          <w:tcPr>
            <w:shd w:fill="F2F5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bCs/>
                <w:sz w:val="18"/>
              </w:rPr>
              <w:t xml:space="preserve">12,036,209 pkts/s</w:t>
            </w:r>
          </w:p>
        </w:tc>
        <w:tc>
          <w:tcPr>
            <w:shd w:fill="F2F5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bCs/>
                <w:sz w:val="18"/>
              </w:rPr>
              <w:t xml:space="preserve">5.44 KB</w:t>
            </w:r>
          </w:p>
        </w:tc>
        <w:tc>
          <w:tcPr>
            <w:shd w:fill="F2F5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bCs/>
                <w:sz w:val="18"/>
              </w:rPr>
              <w:t xml:space="preserve">99.65%</w:t>
            </w:r>
          </w:p>
        </w:tc>
        <w:tc>
          <w:tcPr>
            <w:shd w:fill="F2F5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b/>
                <w:bCs/>
                <w:sz w:val="18"/>
              </w:rPr>
              <w:t xml:space="preserve">99.96%</w:t>
            </w:r>
          </w:p>
        </w:tc>
      </w:tr>
      <w:tr>
        <w:tc>
          <w:tcPr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K-Nearest Neighbors (KNN)</w:t>
            </w:r>
          </w:p>
        </w:tc>
        <w:tc>
          <w:tcPr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sz w:val="18"/>
              </w:rPr>
              <w:t xml:space="preserve">Group 2</w:t>
            </w:r>
          </w:p>
        </w:tc>
        <w:tc>
          <w:tcPr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i/>
                <w:iCs/>
                <w:sz w:val="18"/>
              </w:rPr>
              <w:t xml:space="preserve">Pending</w:t>
            </w:r>
          </w:p>
        </w:tc>
        <w:tc>
          <w:tcPr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i/>
                <w:iCs/>
                <w:sz w:val="18"/>
              </w:rPr>
              <w:t xml:space="preserve">Pending</w:t>
            </w:r>
          </w:p>
        </w:tc>
        <w:tc>
          <w:tcPr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i/>
                <w:iCs/>
                <w:sz w:val="18"/>
              </w:rPr>
              <w:t xml:space="preserve">Pending</w:t>
            </w:r>
          </w:p>
        </w:tc>
        <w:tc>
          <w:tcPr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i/>
                <w:iCs/>
                <w:sz w:val="18"/>
              </w:rPr>
              <w:t xml:space="preserve">Pending</w:t>
            </w:r>
          </w:p>
        </w:tc>
        <w:tc>
          <w:tcPr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i/>
                <w:iCs/>
                <w:sz w:val="18"/>
              </w:rPr>
              <w:t xml:space="preserve">Pending</w:t>
            </w:r>
          </w:p>
        </w:tc>
        <w:tc>
          <w:tcPr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i/>
                <w:iCs/>
                <w:sz w:val="18"/>
              </w:rPr>
              <w:t xml:space="preserve">Pending</w:t>
            </w:r>
          </w:p>
        </w:tc>
      </w:tr>
      <w:tr>
        <w:tc>
          <w:tcPr>
            <w:shd w:fill="F2F5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AdaBoost Classifier</w:t>
            </w:r>
          </w:p>
        </w:tc>
        <w:tc>
          <w:tcPr>
            <w:shd w:fill="F2F5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sz w:val="18"/>
              </w:rPr>
              <w:t xml:space="preserve">Group 3</w:t>
            </w:r>
          </w:p>
        </w:tc>
        <w:tc>
          <w:tcPr>
            <w:shd w:fill="F2F5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i/>
                <w:iCs/>
                <w:sz w:val="18"/>
              </w:rPr>
              <w:t xml:space="preserve">Pending</w:t>
            </w:r>
          </w:p>
        </w:tc>
        <w:tc>
          <w:tcPr>
            <w:shd w:fill="F2F5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i/>
                <w:iCs/>
                <w:sz w:val="18"/>
              </w:rPr>
              <w:t xml:space="preserve">Pending</w:t>
            </w:r>
          </w:p>
        </w:tc>
        <w:tc>
          <w:tcPr>
            <w:shd w:fill="F2F5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i/>
                <w:iCs/>
                <w:sz w:val="18"/>
              </w:rPr>
              <w:t xml:space="preserve">Pending</w:t>
            </w:r>
          </w:p>
        </w:tc>
        <w:tc>
          <w:tcPr>
            <w:shd w:fill="F2F5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i/>
                <w:iCs/>
                <w:sz w:val="18"/>
              </w:rPr>
              <w:t xml:space="preserve">Pending</w:t>
            </w:r>
          </w:p>
        </w:tc>
        <w:tc>
          <w:tcPr>
            <w:shd w:fill="F2F5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i/>
                <w:iCs/>
                <w:sz w:val="18"/>
              </w:rPr>
              <w:t xml:space="preserve">Pending</w:t>
            </w:r>
          </w:p>
        </w:tc>
        <w:tc>
          <w:tcPr>
            <w:shd w:fill="F2F5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i/>
                <w:iCs/>
                <w:sz w:val="18"/>
              </w:rPr>
              <w:t xml:space="preserve">Pending</w:t>
            </w:r>
          </w:p>
        </w:tc>
      </w:tr>
      <w:tr>
        <w:tc>
          <w:tcPr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Isolation Forest</w:t>
            </w:r>
          </w:p>
        </w:tc>
        <w:tc>
          <w:tcPr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sz w:val="18"/>
              </w:rPr>
              <w:t xml:space="preserve">Group 4</w:t>
            </w:r>
          </w:p>
        </w:tc>
        <w:tc>
          <w:tcPr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i/>
                <w:iCs/>
                <w:sz w:val="18"/>
              </w:rPr>
              <w:t xml:space="preserve">Pending</w:t>
            </w:r>
          </w:p>
        </w:tc>
        <w:tc>
          <w:tcPr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i/>
                <w:iCs/>
                <w:sz w:val="18"/>
              </w:rPr>
              <w:t xml:space="preserve">Pending</w:t>
            </w:r>
          </w:p>
        </w:tc>
        <w:tc>
          <w:tcPr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i/>
                <w:iCs/>
                <w:sz w:val="18"/>
              </w:rPr>
              <w:t xml:space="preserve">Pending</w:t>
            </w:r>
          </w:p>
        </w:tc>
        <w:tc>
          <w:tcPr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i/>
                <w:iCs/>
                <w:sz w:val="18"/>
              </w:rPr>
              <w:t xml:space="preserve">Pending</w:t>
            </w:r>
          </w:p>
        </w:tc>
        <w:tc>
          <w:tcPr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i/>
                <w:iCs/>
                <w:sz w:val="18"/>
              </w:rPr>
              <w:t xml:space="preserve">Pending</w:t>
            </w:r>
          </w:p>
        </w:tc>
        <w:tc>
          <w:tcPr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i/>
                <w:iCs/>
                <w:sz w:val="18"/>
              </w:rPr>
              <w:t xml:space="preserve">Pending</w:t>
            </w:r>
          </w:p>
        </w:tc>
      </w:tr>
      <w:tr>
        <w:tc>
          <w:tcPr>
            <w:shd w:fill="F2F5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Random Forest Ensemble</w:t>
            </w:r>
          </w:p>
        </w:tc>
        <w:tc>
          <w:tcPr>
            <w:shd w:fill="F2F5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sz w:val="18"/>
              </w:rPr>
              <w:t xml:space="preserve">Group 5</w:t>
            </w:r>
          </w:p>
        </w:tc>
        <w:tc>
          <w:tcPr>
            <w:shd w:fill="F2F5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i/>
                <w:iCs/>
                <w:sz w:val="18"/>
              </w:rPr>
              <w:t xml:space="preserve">Pending</w:t>
            </w:r>
          </w:p>
        </w:tc>
        <w:tc>
          <w:tcPr>
            <w:shd w:fill="F2F5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i/>
                <w:iCs/>
                <w:sz w:val="18"/>
              </w:rPr>
              <w:t xml:space="preserve">Pending</w:t>
            </w:r>
          </w:p>
        </w:tc>
        <w:tc>
          <w:tcPr>
            <w:shd w:fill="F2F5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i/>
                <w:iCs/>
                <w:sz w:val="18"/>
              </w:rPr>
              <w:t xml:space="preserve">Pending</w:t>
            </w:r>
          </w:p>
        </w:tc>
        <w:tc>
          <w:tcPr>
            <w:shd w:fill="F2F5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i/>
                <w:iCs/>
                <w:sz w:val="18"/>
              </w:rPr>
              <w:t xml:space="preserve">Pending</w:t>
            </w:r>
          </w:p>
        </w:tc>
        <w:tc>
          <w:tcPr>
            <w:shd w:fill="F2F5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i/>
                <w:iCs/>
                <w:sz w:val="18"/>
              </w:rPr>
              <w:t xml:space="preserve">Pending</w:t>
            </w:r>
          </w:p>
        </w:tc>
        <w:tc>
          <w:tcPr>
            <w:shd w:fill="F2F5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pStyle w:val="Compact"/>
              <w:jc w:val="center"/>
            </w:pPr>
            <w:r>
              <w:rPr>
                <w:rFonts w:ascii="Calibri" w:hAnsi="Calibri"/>
                <w:i/>
                <w:iCs/>
                <w:sz w:val="18"/>
              </w:rPr>
              <w:t xml:space="preserve">Pending</w:t>
            </w:r>
          </w:p>
        </w:tc>
      </w:tr>
    </w:tbl>
    <w:bookmarkEnd w:id="13"/>
    <w:bookmarkStart w:id="14" w:name="limitations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t xml:space="preserve">5.2.6 Limitations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Sliding-Window Feature Extractor Dependency:</w:t>
      </w:r>
      <w:r>
        <w:t xml:space="preserve"> </w:t>
      </w:r>
      <w:r>
        <w:t xml:space="preserve">While decision tree traversal takes only 34.41</w:t>
      </w:r>
      <w:r>
        <w:t xml:space="preserve"> </w:t>
      </w:r>
      <m:oMath>
        <m:r>
          <m:t>μ</m:t>
        </m:r>
      </m:oMath>
      <w:r>
        <w:t xml:space="preserve">s, the upstream damped sliding-window packet statistics extraction (Kitsune feature extractor) incurs its own CPU overhead.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Single-Core Evaluation:</w:t>
      </w:r>
      <w:r>
        <w:t xml:space="preserve"> </w:t>
      </w:r>
      <w:r>
        <w:t xml:space="preserve">Benchmarks reflect single-threaded CPU execution. Parallel SIMD or GPU inference was not evaluated because scalar tree decisions are already microsecond-scale.</w:t>
      </w:r>
    </w:p>
    <w:bookmarkEnd w:id="14"/>
    <w:bookmarkEnd w:id="15"/>
    <w:sectPr>
      <w:headerReference w:type="default" r:id="rId9"/>
      <w:footerReference w:type="default" r:id="rId10"/>
      <w:footnotePr>
        <w:numRestart w:val="eachSect"/>
      </w:footnotePr>
      <w:pgMar w:top="1440" w:bottom="1440" w:left="1440" w:right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808080"/>
        <w:sz w:val="17"/>
      </w:rPr>
      <w:t>Computational Overhead &amp; Hardware Latency Analysis | Group 1 — Decision Tree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808080"/>
        <w:sz w:val="17"/>
      </w:rPr>
      <w:t>Sardar Patel Institute of Technology — CNS A.Y. 2026-27 | Master Research Paper — Section 5.2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2026-10-02T14:49:52Z</dcterms:created>
  <dcterms:modified xsi:type="dcterms:W3CDTF">2026-10-02T14:49:52Z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