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URBAN NOOK</w:t>
      </w:r>
    </w:p>
    <w:p>
      <w:pPr>
        <w:spacing w:after="60"/>
      </w:pPr>
      <w:r>
        <w:rPr>
          <w:b/>
          <w:bCs/>
          <w:color w:val="E63329"/>
          <w:sz w:val="24"/>
          <w:szCs w:val="24"/>
        </w:rPr>
        <w:t xml:space="preserve">Brand Language &amp; Design System — v2.0 (Editorial)</w:t>
      </w:r>
    </w:p>
    <w:p>
      <w:pPr>
        <w:spacing w:after="240"/>
      </w:pPr>
      <w:r>
        <w:rPr>
          <w:i/>
          <w:iCs/>
          <w:color w:val="555555"/>
        </w:rPr>
        <w:t xml:space="preserve">One store. Every fandom. Upgrade your space.</w:t>
      </w:r>
    </w:p>
    <w:p>
      <w:pPr>
        <w:pStyle w:val="Heading1"/>
      </w:pPr>
      <w:r>
        <w:t xml:space="preserve">1. Brand Positioning</w:t>
      </w:r>
    </w:p>
    <w:p>
      <w:pPr>
        <w:spacing w:after="160"/>
      </w:pPr>
      <w:r>
        <w:t xml:space="preserve">Urban Nook is the one-stop store for people upgrading their workspace, whatever world they rep. We sell aesthetic, fandom-driven products across genres — anime, auto, tech, gaming and beyond — and keep adding categories. The promise: no matter your fandom, your desk can flex it, and you can get it all in one place.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E63329"/>
          <w:sz w:val="18"/>
          <w:szCs w:val="18"/>
        </w:rPr>
        <w:t xml:space="preserve">Positioning line</w:t>
      </w:r>
    </w:p>
    <w:p>
      <w:pPr>
        <w:spacing w:after="160"/>
      </w:pPr>
      <w:r>
        <w:t xml:space="preserve">“Your space. Your fandom. One store.”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E63329"/>
          <w:sz w:val="18"/>
          <w:szCs w:val="18"/>
        </w:rPr>
        <w:t xml:space="preserve">Tagline</w:t>
      </w:r>
    </w:p>
    <w:p>
      <w:pPr>
        <w:spacing w:after="160"/>
      </w:pPr>
      <w:r>
        <w:t xml:space="preserve">“Upgrade your space.”</w:t>
      </w:r>
    </w:p>
    <w:p>
      <w:pPr>
        <w:pStyle w:val="Heading1"/>
      </w:pPr>
      <w:r>
        <w:t xml:space="preserve">2. The Core Idea — Restraint Is the Luxury</w:t>
      </w:r>
    </w:p>
    <w:p>
      <w:pPr>
        <w:spacing w:after="160"/>
      </w:pPr>
      <w:r>
        <w:t xml:space="preserve">A premium, modern identity built on a strict editorial palette: red, off-white and black, plus one recurring red dot. The discipline is exactly what signals quality — like the reference decks, the brand reads high-end because it refuses to add more colour. Every genre lives inside the photography and labels, never the brand colours. This is what lets a katana sit beside a 3D-printed caliper lamp and still feel like one considered label.</w:t>
      </w:r>
    </w:p>
    <w:p>
      <w:pPr>
        <w:pStyle w:val="Heading2"/>
      </w:pPr>
      <w:r>
        <w:t xml:space="preserve">Three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Strict three-colour palette. Red, off-white and black on every page — no per-genre colours in the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Photography carries the genre. Product and lifestyle shots, often red-duotone, bring each world to life against a neutral frame.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red dot is the signature. A single red circle recurs across pages, packaging and socials as a small, ownable mark.</w:t>
      </w:r>
    </w:p>
    <w:p>
      <w:pPr>
        <w:pStyle w:val="Heading1"/>
      </w:pPr>
      <w:r>
        <w:t xml:space="preserve">3. Colour System</w:t>
      </w:r>
    </w:p>
    <w:p>
      <w:pPr>
        <w:spacing w:after="160"/>
      </w:pPr>
      <w:r>
        <w:t xml:space="preserve">Three colours run the entire brand. Off-white is the canvas, black is the structure, and red is the one and only accent — used for headlines, the dot, CTAs and prices so it always commands attention.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Swatch</w:t>
            </w:r>
          </w:p>
        </w:tc>
        <w:tc>
          <w:tcPr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 / Hex</w:t>
            </w:r>
          </w:p>
        </w:tc>
        <w:tc>
          <w:tcPr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14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shd w:fill="E63329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Nook Red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#E63329</w:t>
            </w:r>
          </w:p>
        </w:tc>
        <w:tc>
          <w:tcPr>
            <w:tcW w:type="dxa" w:w="576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signature. Headlines, the red dot, CTAs, prices. Never decorative filler.</w:t>
            </w:r>
          </w:p>
        </w:tc>
      </w:tr>
      <w:tr>
        <w:tc>
          <w:tcPr>
            <w:tcW w:type="dxa" w:w="14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shd w:fill="EFEAE0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Off-White / Paper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#EFEAE0</w:t>
            </w:r>
          </w:p>
        </w:tc>
        <w:tc>
          <w:tcPr>
            <w:tcW w:type="dxa" w:w="576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canvas and light sections. Warm, not clinical white.</w:t>
            </w:r>
          </w:p>
        </w:tc>
      </w:tr>
      <w:tr>
        <w:tc>
          <w:tcPr>
            <w:tcW w:type="dxa" w:w="14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shd w:fill="141414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Ink Black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#141414</w:t>
            </w:r>
          </w:p>
        </w:tc>
        <w:tc>
          <w:tcPr>
            <w:tcW w:type="dxa" w:w="576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text, dark UI, structure and dividers.</w:t>
            </w:r>
          </w:p>
        </w:tc>
      </w:tr>
      <w:tr>
        <w:tc>
          <w:tcPr>
            <w:tcW w:type="dxa" w:w="14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shd w:fill="C9281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Red Deep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#C9281F</w:t>
            </w:r>
          </w:p>
        </w:tc>
        <w:tc>
          <w:tcPr>
            <w:tcW w:type="dxa" w:w="576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Hover and pressed states for red elements.</w:t>
            </w:r>
          </w:p>
        </w:tc>
      </w:tr>
      <w:tr>
        <w:tc>
          <w:tcPr>
            <w:tcW w:type="dxa" w:w="14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shd w:fill="8C8779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Stone Grey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#8C8779</w:t>
            </w:r>
          </w:p>
        </w:tc>
        <w:tc>
          <w:tcPr>
            <w:tcW w:type="dxa" w:w="576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 text, captions, metadata.</w:t>
            </w:r>
          </w:p>
        </w:tc>
      </w:tr>
      <w:tr>
        <w:tc>
          <w:tcPr>
            <w:tcW w:type="dxa" w:w="14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shd w:fill="D8D2C5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Line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#D8D2C5</w:t>
            </w:r>
          </w:p>
        </w:tc>
        <w:tc>
          <w:tcPr>
            <w:tcW w:type="dxa" w:w="576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Borders and dividers on paper backgrounds.</w:t>
            </w:r>
          </w:p>
        </w:tc>
      </w:tr>
    </w:tbl>
    <w:p>
      <w:pPr>
        <w:spacing w:after="80" w:before="160"/>
      </w:pPr>
      <w:r>
        <w:rPr>
          <w:i/>
          <w:iCs/>
          <w:color w:val="555555"/>
        </w:rPr>
        <w:t xml:space="preserve">Usage ratio: roughly 60% off-white, 30% black, 10% red. If red spreads beyond accents, the premium feel collapses.</w:t>
      </w:r>
    </w:p>
    <w:p>
      <w:pPr>
        <w:pStyle w:val="Heading1"/>
      </w:pPr>
      <w:r>
        <w:t xml:space="preserve">4. Handling Multiple Genres</w:t>
      </w:r>
    </w:p>
    <w:p>
      <w:pPr>
        <w:spacing w:after="160"/>
      </w:pPr>
      <w:r>
        <w:t xml:space="preserve">Rather than assigning each category its own colour, Urban Nook keeps the palette pure and differentiates genres through imagery. Every category is shot in black &amp; white with a subtle red duotone wash and tagged with a mono label. The look stays unmistakably Urban Nook while each world still feels distinct — and it scales infinitely as new categories launch.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Genre</w:t>
            </w:r>
          </w:p>
        </w:tc>
        <w:tc>
          <w:tcPr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Products (shown as red-duotone photography + mono label)</w:t>
            </w:r>
          </w:p>
        </w:tc>
      </w:tr>
      <w:tr>
        <w:tc>
          <w:tcPr>
            <w:tcW w:type="dxa" w:w="20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Anime</w:t>
            </w:r>
          </w:p>
        </w:tc>
        <w:tc>
          <w:tcPr>
            <w:tcW w:type="dxa" w:w="736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Posters, katanas, tapestry, figurine shelves.</w:t>
            </w:r>
          </w:p>
        </w:tc>
      </w:tr>
      <w:tr>
        <w:tc>
          <w:tcPr>
            <w:tcW w:type="dxa" w:w="20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</w:t>
            </w:r>
          </w:p>
        </w:tc>
        <w:tc>
          <w:tcPr>
            <w:tcW w:type="dxa" w:w="736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Caliper lamps, keychain holders, model decor.</w:t>
            </w:r>
          </w:p>
        </w:tc>
      </w:tr>
      <w:tr>
        <w:tc>
          <w:tcPr>
            <w:tcW w:type="dxa" w:w="20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</w:t>
            </w:r>
          </w:p>
        </w:tc>
        <w:tc>
          <w:tcPr>
            <w:tcW w:type="dxa" w:w="736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Desk gear, cable management, gadget mounts.</w:t>
            </w:r>
          </w:p>
        </w:tc>
      </w:tr>
      <w:tr>
        <w:tc>
          <w:tcPr>
            <w:tcW w:type="dxa" w:w="20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Gaming</w:t>
            </w:r>
          </w:p>
        </w:tc>
        <w:tc>
          <w:tcPr>
            <w:tcW w:type="dxa" w:w="736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Controller stands, RGB pieces, room decor.</w:t>
            </w:r>
          </w:p>
        </w:tc>
      </w:tr>
      <w:tr>
        <w:tc>
          <w:tcPr>
            <w:tcW w:type="dxa" w:w="20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Plants</w:t>
            </w:r>
          </w:p>
        </w:tc>
        <w:tc>
          <w:tcPr>
            <w:tcW w:type="dxa" w:w="736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Planters, desk greenery, organic accents.</w:t>
            </w:r>
          </w:p>
        </w:tc>
      </w:tr>
    </w:tbl>
    <w:p>
      <w:pPr>
        <w:pStyle w:val="Heading1"/>
      </w:pPr>
      <w:r>
        <w:t xml:space="preserve">5. Typography</w:t>
      </w:r>
    </w:p>
    <w:p>
      <w:pPr>
        <w:spacing w:after="160"/>
      </w:pPr>
      <w:r>
        <w:t xml:space="preserve">A heavy condensed display face for editorial headlines, a clean grotesque for reading, and a mono face for prices and labels. All four are free (Google Fonts), so web, packaging and social stay perfectly consistent.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shd w:fill="E5DF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Anton — Display</w:t>
            </w:r>
          </w:p>
          <w:p>
            <w:r>
              <w:rPr>
                <w:color w:val="666666"/>
                <w:sz w:val="18"/>
                <w:szCs w:val="18"/>
              </w:rPr>
              <w:t xml:space="preserve">Hero headlines, banners, logo wordmark. UPPERCASE, red or black.</w:t>
            </w:r>
          </w:p>
        </w:tc>
        <w:tc>
          <w:tcPr>
            <w:tcW w:type="dxa" w:w="676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UPGRADE YOUR SPACE</w:t>
            </w:r>
          </w:p>
        </w:tc>
      </w:tr>
      <w:tr>
        <w:tc>
          <w:tcPr>
            <w:tcW w:type="dxa" w:w="26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shd w:fill="E5DF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Archivo Black / 900</w:t>
            </w:r>
          </w:p>
          <w:p>
            <w:r>
              <w:rPr>
                <w:color w:val="666666"/>
                <w:sz w:val="18"/>
                <w:szCs w:val="18"/>
              </w:rPr>
              <w:t xml:space="preserve">Section + product titles. UPPERCASE or Title Case.</w:t>
            </w:r>
          </w:p>
        </w:tc>
        <w:tc>
          <w:tcPr>
            <w:tcW w:type="dxa" w:w="676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SHOP THE ANIME DROP</w:t>
            </w:r>
          </w:p>
        </w:tc>
      </w:tr>
      <w:tr>
        <w:tc>
          <w:tcPr>
            <w:tcW w:type="dxa" w:w="26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shd w:fill="E5DF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 (400–600)</w:t>
            </w:r>
          </w:p>
          <w:p>
            <w:r>
              <w:rPr>
                <w:color w:val="666666"/>
                <w:sz w:val="18"/>
                <w:szCs w:val="18"/>
              </w:rPr>
              <w:t xml:space="preserve">Body copy, descriptions, paragraphs.</w:t>
            </w:r>
          </w:p>
        </w:tc>
        <w:tc>
          <w:tcPr>
            <w:tcW w:type="dxa" w:w="676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 for the desk that says something about you.</w:t>
            </w:r>
          </w:p>
        </w:tc>
      </w:tr>
      <w:tr>
        <w:tc>
          <w:tcPr>
            <w:tcW w:type="dxa" w:w="260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shd w:fill="E5DF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JetBrains Mono</w:t>
            </w:r>
          </w:p>
          <w:p>
            <w:r>
              <w:rPr>
                <w:color w:val="666666"/>
                <w:sz w:val="18"/>
                <w:szCs w:val="18"/>
              </w:rPr>
              <w:t xml:space="preserve">Prices, tags, labels, nav, utility detail.</w:t>
            </w:r>
          </w:p>
        </w:tc>
        <w:tc>
          <w:tcPr>
            <w:tcW w:type="dxa" w:w="676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DROP · LIMITED · ₹1,499</w:t>
            </w:r>
          </w:p>
        </w:tc>
      </w:tr>
    </w:tbl>
    <w:p>
      <w:pPr>
        <w:pStyle w:val="Heading2"/>
      </w:pPr>
      <w:r>
        <w:t xml:space="preserve">Pairing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use more than these four faces. Hierarchy comes from weight, size and colour — not new fonts.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 (Anton) is always UPPERCASE and tight; set it big in red or black, or not at 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 stays sentence case for readability. Mono is for short, tracked utility text only.</w:t>
      </w:r>
    </w:p>
    <w:p>
      <w:pPr>
        <w:pStyle w:val="Heading1"/>
      </w:pPr>
      <w:r>
        <w:t xml:space="preserve">6. Logo Direction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Primary: “URBAN NOOK” wordmark set in Anton, uppercase — in red on off-white, or black on off-white.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Mark: a square “UN” monogram in a bordered box — reads as a window/nook frame; works as app icon, sticker and favicon.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 dot: pair the wordmark with the signature dot for hero lockups and packaging seals.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 space equal to the height of the “N” on all sides. Never stretch, add gradients/effects, or introduce other colours.</w:t>
      </w:r>
    </w:p>
    <w:p>
      <w:pPr>
        <w:pStyle w:val="Heading1"/>
      </w:pPr>
      <w:r>
        <w:t xml:space="preserve">7. Voice &amp; Tone</w:t>
      </w:r>
    </w:p>
    <w:p>
      <w:pPr>
        <w:spacing w:after="160"/>
      </w:pPr>
      <w:r>
        <w:t xml:space="preserve">Confident, punchy, a little cheeky — fan-to-fan, never corporate. Short lines. We speak like someone who gets the fandom, not a brand selling to it.</w:t>
      </w:r>
    </w:p>
    <w:p>
      <w:pPr>
        <w:pStyle w:val="Heading2"/>
      </w:pPr>
      <w:r>
        <w:t xml:space="preserve">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“Upgrade your space.”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“Built for the desk that flexes your fandom.”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“New drop. Limited stock. Don’t sleep.”</w:t>
      </w:r>
    </w:p>
    <w:p>
      <w:pPr>
        <w:pStyle w:val="Heading2"/>
      </w:pPr>
      <w:r>
        <w:t xml:space="preserve">Don’t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“We offer a wide range of premium lifestyle products.”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“Enhance your workspace environment today.”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“Our company is dedicated to quality.”</w:t>
      </w:r>
    </w:p>
    <w:p>
      <w:pPr>
        <w:pStyle w:val="Heading1"/>
      </w:pPr>
      <w:r>
        <w:t xml:space="preserve">8. UI Application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Off-white is the default canvas; use black sections and dark product cards for contrast and drama.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Buttons: solid red primary (white text); outlined black ghost secondary. Bold uppercase Archivo labels.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cards: red-duotone image, mono genre badge, Archivo title, mono price in red, strike-through for discounts.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Filters/tags: pill shape, mono caps; active state fills with 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Reuse the red dot as a recurring accent on banners, section corners and packaging seals.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Generous white space and thin #D8D2C5 dividers keep the editorial, premium rhythm.</w:t>
      </w:r>
    </w:p>
    <w:p>
      <w:pPr>
        <w:pBdr>
          <w:top w:val="single" w:color="E63329" w:sz="8" w:space="6"/>
        </w:pBdr>
        <w:spacing w:before="320"/>
      </w:pPr>
      <w:r>
        <w:rPr>
          <w:color w:val="8C8779"/>
          <w:sz w:val="16"/>
          <w:szCs w:val="16"/>
        </w:rPr>
        <w:t xml:space="preserve">RED #E63329  ·  OFF-WHITE #EFEAE0  ·  BLACK #141414  ·  ANTON · ARCHIVO · INTER · JETBRAINS MONO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779"/>
        <w:sz w:val="16"/>
        <w:szCs w:val="16"/>
      </w:rPr>
      <w:t xml:space="preserve">URBAN NOOK · BRAND SYSTEM v2.0 · Page </w:t>
    </w:r>
    <w:r>
      <w:rPr>
        <w:color w:val="8C87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4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80"/>
    </w:pPr>
    <w:rPr>
      <w:rFonts w:ascii="Arial" w:cs="Arial" w:eastAsia="Arial" w:hAnsi="Arial"/>
      <w:b/>
      <w:bCs/>
      <w:color w:val="E63329"/>
      <w:sz w:val="64"/>
      <w:szCs w:val="64"/>
    </w:rPr>
  </w:style>
  <w:style w:type="paragraph" w:styleId="Heading1">
    <w:name w:val="Heading 1"/>
    <w:basedOn w:val="Normal"/>
    <w:next w:val="Normal"/>
    <w:qFormat/>
    <w:pPr>
      <w:pBdr>
        <w:bottom w:val="single" w:color="E63329" w:sz="8" w:space="4"/>
      </w:pBdr>
      <w:spacing w:after="160" w:before="320"/>
      <w:outlineLvl w:val="0"/>
    </w:pPr>
    <w:rPr>
      <w:rFonts w:ascii="Arial" w:cs="Arial" w:eastAsia="Arial" w:hAnsi="Arial"/>
      <w:b/>
      <w:bCs/>
      <w:color w:val="1414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2026-06-16T13:26:32.990Z</dcterms:created>
  <dcterms:modified xsi:type="dcterms:W3CDTF">2026-06-16T13:26:32.991Z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