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Generics</w:t>
      </w:r>
    </w:p>
    <w:p w:rsidR="00000000" w:rsidDel="00000000" w:rsidP="00000000" w:rsidRDefault="00000000" w:rsidRPr="00000000" w14:paraId="00000004">
      <w:pPr>
        <w:ind w:left="0" w:firstLine="0"/>
        <w:rPr>
          <w:color w:val="6c7986"/>
          <w:sz w:val="18"/>
          <w:szCs w:val="18"/>
        </w:rPr>
      </w:pPr>
      <w:r w:rsidDel="00000000" w:rsidR="00000000" w:rsidRPr="00000000">
        <w:rPr>
          <w:rtl w:val="0"/>
        </w:rPr>
        <w:t xml:space="preserve">       –</w:t>
        <w:tab/>
      </w:r>
      <w:r w:rsidDel="00000000" w:rsidR="00000000" w:rsidRPr="00000000">
        <w:rPr>
          <w:color w:val="6c7986"/>
          <w:sz w:val="18"/>
          <w:szCs w:val="18"/>
          <w:rtl w:val="0"/>
        </w:rPr>
        <w:t xml:space="preserve">Generic code enables you to write flexible, reusable functions and types that can work with any type, subject         to requirements that you define.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