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Capital Markets Trade Break &amp;</w:t>
        <w:br/>
        <w:t>Settlement Exception Resolution Agent</w:t>
      </w:r>
    </w:p>
    <w:p>
      <w:pPr>
        <w:pStyle w:val="CustomSubtitle"/>
        <w:jc w:val="center"/>
      </w:pPr>
      <w:r>
        <w:t>Formal Capstone Design Document</w:t>
      </w:r>
    </w:p>
    <w:p>
      <w:pPr>
        <w:jc w:val="center"/>
      </w:pPr>
      <w:r>
        <w:rPr>
          <w:color w:val="595959"/>
          <w:sz w:val="22"/>
        </w:rPr>
        <w:t>Prepared on: 01 June 2026</w:t>
      </w:r>
    </w:p>
    <w:p>
      <w:pPr>
        <w:jc w:val="center"/>
      </w:pPr>
      <w:r>
        <w:rPr>
          <w:color w:val="595959"/>
          <w:sz w:val="22"/>
        </w:rPr>
        <w:t>Prepared for Agentic &amp; AI Engineering Capstone</w:t>
      </w:r>
    </w:p>
    <w:p/>
    <w:p>
      <w:pPr>
        <w:jc w:val="center"/>
      </w:pPr>
      <w:r>
        <w:drawing>
          <wp:inline xmlns:a="http://schemas.openxmlformats.org/drawingml/2006/main" xmlns:pic="http://schemas.openxmlformats.org/drawingml/2006/picture">
            <wp:extent cx="6217920" cy="3482765"/>
            <wp:docPr id="1" name="Picture 1"/>
            <wp:cNvGraphicFramePr>
              <a:graphicFrameLocks noChangeAspect="1"/>
            </wp:cNvGraphicFramePr>
            <a:graphic>
              <a:graphicData uri="http://schemas.openxmlformats.org/drawingml/2006/picture">
                <pic:pic>
                  <pic:nvPicPr>
                    <pic:cNvPr id="0" name="capstone_architecture.png"/>
                    <pic:cNvPicPr/>
                  </pic:nvPicPr>
                  <pic:blipFill>
                    <a:blip r:embed="rId11"/>
                    <a:stretch>
                      <a:fillRect/>
                    </a:stretch>
                  </pic:blipFill>
                  <pic:spPr>
                    <a:xfrm>
                      <a:off x="0" y="0"/>
                      <a:ext cx="6217920" cy="3482765"/>
                    </a:xfrm>
                    <a:prstGeom prst="rect"/>
                  </pic:spPr>
                </pic:pic>
              </a:graphicData>
            </a:graphic>
          </wp:inline>
        </w:drawing>
      </w:r>
    </w:p>
    <w:p>
      <w:pPr>
        <w:jc w:val="center"/>
      </w:pPr>
      <w:r>
        <w:rPr>
          <w:b/>
          <w:color w:val="1F4E79"/>
          <w:sz w:val="22"/>
        </w:rPr>
        <w:t>Version 1.0</w:t>
      </w:r>
    </w:p>
    <w:p>
      <w:r>
        <w:br w:type="page"/>
      </w:r>
    </w:p>
    <w:p>
      <w:pPr>
        <w:pStyle w:val="Heading1"/>
      </w:pPr>
      <w:r>
        <w:t>Abstract</w:t>
      </w:r>
    </w:p>
    <w:p>
      <w:pPr>
        <w:spacing w:after="120"/>
      </w:pPr>
      <w:r>
        <w:t>This capstone proposes a secure, auditable, and business-aligned Agentic AI system for resolving trade breaks and settlement exceptions in Capital Markets Operations. The solution is designed as a multi-agent platform in which an orchestrator coordinates specialized agents for intake, operational data retrieval, policy-aware retrieval-augmented generation (RAG), root-cause analysis, recommendation planning, reflection, and human-in-the-loop (HITL) approval. This design reflects current enterprise patterns for agentic systems, where agents are expected to do more than answer questions: they should reason, use tools, collaborate, and operate within clear governance boundaries. [R1][R3][R4][R5]</w:t>
      </w:r>
    </w:p>
    <w:p>
      <w:pPr>
        <w:spacing w:after="120"/>
      </w:pPr>
      <w:r>
        <w:t>The proposed platform addresses a common operations problem: analysts spend significant time investigating failed settlements, mismatched trades, missing standing settlement instructions, counterparty discrepancies, incorrect dates, and reference-data issues across multiple systems and documents. The capstone solution reduces manual investigation effort by combining evidence retrieval from dummy operational APIs with grounded reasoning over SOPs, playbooks, and policy documents through a structured RAG layer. The system provides evidence-backed recommendations, explains why a recommendation was made, and routes risky or low-confidence actions to a human approver before any controlled action is executed. [R1][R2][R4][R5]</w:t>
      </w:r>
    </w:p>
    <w:p>
      <w:pPr>
        <w:spacing w:after="120"/>
      </w:pPr>
      <w:r>
        <w:t>This report defines the business problem, target users, architecture, agent design, memory strategy, RAG implementation approach, prompt framework, data design, evaluation model, security controls, non-functional requirements, and Streamlit-based user experience. The intention is to create a formal design blueprint first and then use it as the basis for implementation in the next phase of the capstone. [R1][R2][R3][R5]</w:t>
      </w:r>
    </w:p>
    <w:p>
      <w:pPr>
        <w:pStyle w:val="Heading1"/>
      </w:pPr>
      <w:r>
        <w:t>1. Problem Statement</w:t>
      </w:r>
    </w:p>
    <w:p>
      <w:pPr>
        <w:spacing w:after="120"/>
      </w:pPr>
      <w:r>
        <w:t>Capital Markets operations teams are responsible for ensuring that executed trades are correctly allocated, matched, instructed, and settled. In practice, these workflows often generate exceptions such as quantity mismatches, price differences, settlement date errors, missing allocations, incorrect or missing settlement instructions (SSI), counterparty inconsistencies, or failed settlements. Resolving such cases requires analysts to manually inspect tickets, email threads, operational records, settlement data, reference data, calendars, and internal operating procedures. This process is repetitive but not fully deterministic because the right resolution depends on context distributed across systems, documents, and prior decisions. [R1][R3]</w:t>
      </w:r>
    </w:p>
    <w:p>
      <w:pPr>
        <w:spacing w:after="120"/>
      </w:pPr>
      <w:r>
        <w:t>The business challenge is not merely information lookup; it is coordinated investigation and safe action recommendation. Traditional chatbots or static automation flows cannot reliably handle this class of work because the workflow demands evidence gathering, contextual reasoning, policy alignment, escalation handling, and the ability to stop for human judgment when uncertainty or business risk is high. Modern enterprise guidance for agentic AI specifically positions tool use, planning, reflection, and specialized multi-agent collaboration as appropriate patterns for such workflows. [R1][R3][R5]</w:t>
      </w:r>
    </w:p>
    <w:p>
      <w:pPr>
        <w:spacing w:after="120"/>
      </w:pPr>
      <w:r>
        <w:t>Therefore, the problem addressed by this capstone is: how to design a secure, explainable, and workflow-driven AI system that can triage trade breaks and settlement exceptions, gather relevant operational and policy evidence, recommend likely root causes and next-best actions, and ensure that all risky decisions remain subject to human approval and full auditability. [R1][R4][R5]</w:t>
      </w:r>
    </w:p>
    <w:p>
      <w:pPr>
        <w:pStyle w:val="Heading2"/>
      </w:pPr>
      <w:r>
        <w:t>1.1 Business Objectives</w:t>
      </w:r>
    </w:p>
    <w:p>
      <w:pPr>
        <w:pStyle w:val="ListBullet"/>
      </w:pPr>
      <w:r>
        <w:t>Reduce average investigation time for common settlement and trade exception categories. [R1][R3][R4][R5]</w:t>
      </w:r>
    </w:p>
    <w:p>
      <w:pPr>
        <w:pStyle w:val="ListBullet"/>
      </w:pPr>
      <w:r>
        <w:t>Improve consistency and quality of triage and root-cause identification across analysts. [R1][R3][R4][R5]</w:t>
      </w:r>
    </w:p>
    <w:p>
      <w:pPr>
        <w:pStyle w:val="ListBullet"/>
      </w:pPr>
      <w:r>
        <w:t>Ground recommendations in operational evidence and policy citations rather than unverified model output. [R1][R3][R4][R5]</w:t>
      </w:r>
    </w:p>
    <w:p>
      <w:pPr>
        <w:pStyle w:val="ListBullet"/>
      </w:pPr>
      <w:r>
        <w:t>Introduce safe automation for low-risk workflow steps while preserving HITL approval for medium- and high-risk actions. [R1][R3][R4][R5]</w:t>
      </w:r>
    </w:p>
    <w:p>
      <w:pPr>
        <w:pStyle w:val="ListBullet"/>
      </w:pPr>
      <w:r>
        <w:t>Maintain complete traceability of prompts, retrieval results, tool calls, human approvals, and case outcomes for governance and evaluation. [R1][R3][R4][R5]</w:t>
      </w:r>
    </w:p>
    <w:p>
      <w:pPr>
        <w:pStyle w:val="Heading2"/>
      </w:pPr>
      <w:r>
        <w:t>1.2 In Scope and Out of Scope</w:t>
      </w:r>
    </w:p>
    <w:p>
      <w:pPr>
        <w:spacing w:after="120"/>
      </w:pPr>
      <w:r>
        <w:t>In scope for the capstone are exception intake, case triage, operational evidence retrieval, policy-aware RAG, root-cause analysis, action recommendation, controlled workflow execution, analyst approval flows, and a Streamlit operations console. The solution will use synthetic datasets, dummy APIs, and curated operational documents to simulate an enterprise environment. [R1][R2][R3]</w:t>
      </w:r>
    </w:p>
    <w:p>
      <w:pPr>
        <w:spacing w:after="120"/>
      </w:pPr>
      <w:r>
        <w:t>Out of scope are direct connections to production settlement systems, autonomous execution of unrestricted financial operations, real payment movement, production-grade compliance certification, and organization-specific legal validation. These exclusions keep the project realistic for a capstone while preserving the design principles of enterprise agentic systems. [R1][R4][R5]</w:t>
      </w:r>
    </w:p>
    <w:p>
      <w:pPr>
        <w:pStyle w:val="Heading1"/>
      </w:pPr>
      <w:r>
        <w:t>2. Solution Architecture</w:t>
      </w:r>
    </w:p>
    <w:p>
      <w:pPr>
        <w:spacing w:after="120"/>
      </w:pPr>
      <w:r>
        <w:t>The proposed solution follows a manager-led multi-agent architecture. A central Orchestrator Agent receives a case, maintains the active case plan, determines which specialized agents need to run, and decides when to invoke a workflow step, request more evidence, or route an action for human approval. This aligns with Microsoft guidance that effective agentic solutions often combine planning, tool use, reflection, and multi-agent collaboration under a coordinated orchestration model. [R1]</w:t>
      </w:r>
    </w:p>
    <w:p>
      <w:pPr>
        <w:jc w:val="center"/>
      </w:pPr>
      <w:r>
        <w:drawing>
          <wp:inline xmlns:a="http://schemas.openxmlformats.org/drawingml/2006/main" xmlns:pic="http://schemas.openxmlformats.org/drawingml/2006/picture">
            <wp:extent cx="6309360" cy="3533982"/>
            <wp:docPr id="2" name="Picture 2"/>
            <wp:cNvGraphicFramePr>
              <a:graphicFrameLocks noChangeAspect="1"/>
            </wp:cNvGraphicFramePr>
            <a:graphic>
              <a:graphicData uri="http://schemas.openxmlformats.org/drawingml/2006/picture">
                <pic:pic>
                  <pic:nvPicPr>
                    <pic:cNvPr id="0" name="capstone_architecture.png"/>
                    <pic:cNvPicPr/>
                  </pic:nvPicPr>
                  <pic:blipFill>
                    <a:blip r:embed="rId11"/>
                    <a:stretch>
                      <a:fillRect/>
                    </a:stretch>
                  </pic:blipFill>
                  <pic:spPr>
                    <a:xfrm>
                      <a:off x="0" y="0"/>
                      <a:ext cx="6309360" cy="3533982"/>
                    </a:xfrm>
                    <a:prstGeom prst="rect"/>
                  </pic:spPr>
                </pic:pic>
              </a:graphicData>
            </a:graphic>
          </wp:inline>
        </w:drawing>
      </w:r>
    </w:p>
    <w:p>
      <w:pPr>
        <w:jc w:val="center"/>
      </w:pPr>
      <w:r>
        <w:rPr>
          <w:i/>
          <w:sz w:val="20"/>
        </w:rPr>
        <w:t>Figure 1. Reference architecture for the capstone solution.</w:t>
      </w:r>
    </w:p>
    <w:p>
      <w:pPr>
        <w:pStyle w:val="Heading2"/>
      </w:pPr>
      <w:r>
        <w:t>2.1 Architectural Components</w:t>
      </w:r>
    </w:p>
    <w:p>
      <w:r>
        <w:rPr>
          <w:b/>
        </w:rPr>
        <w:t xml:space="preserve">Streamlit User Interface: </w:t>
      </w:r>
      <w:r>
        <w:t>Provides analyst-facing screens for case intake, evidence review, recommendation review, approval handling, knowledge exploration, and evaluation dashboards. The user experience is intentionally designed as a workflow console rather than a generic chat surface. [R1][R3][R4][R5]</w:t>
      </w:r>
    </w:p>
    <w:p>
      <w:r>
        <w:rPr>
          <w:b/>
        </w:rPr>
        <w:t xml:space="preserve">Orchestrator Agent: </w:t>
      </w:r>
      <w:r>
        <w:t>Coordinates all specialized agents, manages case state, triggers reflection, and routes high-risk actions to the approval layer. This creates a clear control point for governance and observability. [R1][R3][R4][R5]</w:t>
      </w:r>
    </w:p>
    <w:p>
      <w:r>
        <w:rPr>
          <w:b/>
        </w:rPr>
        <w:t xml:space="preserve">Intake &amp; Classification Agent: </w:t>
      </w:r>
      <w:r>
        <w:t>Classifies the exception type and extracts structured attributes from tickets, uploaded files, or analyst notes. [R1][R3][R4][R5]</w:t>
      </w:r>
    </w:p>
    <w:p>
      <w:r>
        <w:rPr>
          <w:b/>
        </w:rPr>
        <w:t xml:space="preserve">Operational Data Retrieval Agent: </w:t>
      </w:r>
      <w:r>
        <w:t>Fetches trade, settlement, counterparty, reference-data, and case-history evidence using approved tools or dummy APIs. [R1][R3][R4][R5]</w:t>
      </w:r>
    </w:p>
    <w:p>
      <w:r>
        <w:rPr>
          <w:b/>
        </w:rPr>
        <w:t xml:space="preserve">Policy / SOP RAG Agent: </w:t>
      </w:r>
      <w:r>
        <w:t>Retrieves relevant passages from indexed SOPs, playbooks, templates, and policy documents to ground the analysis in trusted organizational knowledge. [R1][R3][R4][R5]</w:t>
      </w:r>
    </w:p>
    <w:p>
      <w:r>
        <w:rPr>
          <w:b/>
        </w:rPr>
        <w:t xml:space="preserve">Root Cause Analysis Agent: </w:t>
      </w:r>
      <w:r>
        <w:t>Produces ranked hypotheses for the likely cause of the exception and identifies missing evidence where confidence is insufficient. [R1][R3][R4][R5]</w:t>
      </w:r>
    </w:p>
    <w:p>
      <w:r>
        <w:rPr>
          <w:b/>
        </w:rPr>
        <w:t xml:space="preserve">Recommendation &amp; Action Planner Agent: </w:t>
      </w:r>
      <w:r>
        <w:t>Proposes the safest next-best action, expected outcome, required preconditions, and draft case notes or communications. [R1][R3][R4][R5]</w:t>
      </w:r>
    </w:p>
    <w:p>
      <w:r>
        <w:rPr>
          <w:b/>
        </w:rPr>
        <w:t xml:space="preserve">Reflection / Quality Check Agent: </w:t>
      </w:r>
      <w:r>
        <w:t>Critically reviews the recommendation for unsupported claims, contradictory evidence, missing citations, policy conflicts, or unsafe action suggestions. Reflection is recommended as a reliability pattern in high-stakes workflows. [R1][R3][R4][R5]</w:t>
      </w:r>
    </w:p>
    <w:p>
      <w:r>
        <w:rPr>
          <w:b/>
        </w:rPr>
        <w:t xml:space="preserve">HITL Approval Layer: </w:t>
      </w:r>
      <w:r>
        <w:t>Pauses execution for high-risk or low-confidence actions and collects human approval or denial before any privileged tool action is performed. n8n’s human review design is a suitable reference pattern for this step. [R2][R4][R5]</w:t>
      </w:r>
    </w:p>
    <w:p>
      <w:r>
        <w:rPr>
          <w:b/>
        </w:rPr>
        <w:t xml:space="preserve">Audit &amp; Trace Store: </w:t>
      </w:r>
      <w:r>
        <w:t>Captures prompts, retrieved sources, tool calls, decisions, approvals, and outcomes for evaluation, security reviews, and continuous improvement. [R1][R3][R4][R5]</w:t>
      </w:r>
    </w:p>
    <w:p>
      <w:pPr>
        <w:pStyle w:val="Heading2"/>
      </w:pPr>
      <w:r>
        <w:t>2.2 Data Flow Narrative</w:t>
      </w:r>
    </w:p>
    <w:p>
      <w:pPr>
        <w:pStyle w:val="ListBullet"/>
      </w:pPr>
      <w:r>
        <w:t>A case enters the system through Streamlit, file upload, API submission, or simulated message ingestion. [R1][R2][R4][R5]</w:t>
      </w:r>
    </w:p>
    <w:p>
      <w:pPr>
        <w:pStyle w:val="ListBullet"/>
      </w:pPr>
      <w:r>
        <w:t>The Orchestrator invokes the Intake Agent to classify the case and identify missing information. [R1][R2][R4][R5]</w:t>
      </w:r>
    </w:p>
    <w:p>
      <w:pPr>
        <w:pStyle w:val="ListBullet"/>
      </w:pPr>
      <w:r>
        <w:t>The Operational Data Retrieval Agent gathers trade, settlement, counterparty, and reference evidence from approved data sources. [R1][R2][R4][R5]</w:t>
      </w:r>
    </w:p>
    <w:p>
      <w:pPr>
        <w:pStyle w:val="ListBullet"/>
      </w:pPr>
      <w:r>
        <w:t>In parallel or sequence, the Policy / SOP RAG Agent retrieves the most relevant governance and operational guidance. [R1][R2][R4][R5]</w:t>
      </w:r>
    </w:p>
    <w:p>
      <w:pPr>
        <w:pStyle w:val="ListBullet"/>
      </w:pPr>
      <w:r>
        <w:t>The Root Cause Analysis Agent builds ranked hypotheses using only the collected evidence and retrieved citations. [R1][R2][R4][R5]</w:t>
      </w:r>
    </w:p>
    <w:p>
      <w:pPr>
        <w:pStyle w:val="ListBullet"/>
      </w:pPr>
      <w:r>
        <w:t>The Recommendation Agent proposes the next-best action and determines whether approval is required. [R1][R2][R4][R5]</w:t>
      </w:r>
    </w:p>
    <w:p>
      <w:pPr>
        <w:pStyle w:val="ListBullet"/>
      </w:pPr>
      <w:r>
        <w:t>The Reflection Agent re-checks the recommendation for evidence quality, safety, and policy alignment. [R1][R2][R4][R5]</w:t>
      </w:r>
    </w:p>
    <w:p>
      <w:pPr>
        <w:pStyle w:val="ListBullet"/>
      </w:pPr>
      <w:r>
        <w:t>If the action is risky or confidence is insufficient, the request is paused and routed to human approval. [R1][R2][R4][R5]</w:t>
      </w:r>
    </w:p>
    <w:p>
      <w:pPr>
        <w:pStyle w:val="ListBullet"/>
      </w:pPr>
      <w:r>
        <w:t>After approval, only allowed actions are executed and the full case trace is persisted for audit and evaluation. [R1][R2][R4][R5]</w:t>
      </w:r>
    </w:p>
    <w:p>
      <w:pPr>
        <w:pStyle w:val="Heading1"/>
      </w:pPr>
      <w:r>
        <w:t>3. Detailed Design</w:t>
      </w:r>
    </w:p>
    <w:p>
      <w:pPr>
        <w:pStyle w:val="Heading2"/>
      </w:pPr>
      <w:r>
        <w:t>3.1 Agent Flow and Decision Logic</w:t>
      </w:r>
    </w:p>
    <w:p>
      <w:pPr>
        <w:spacing w:after="120"/>
      </w:pPr>
      <w:r>
        <w:t>The agent flow is designed to resemble an experienced operations analyst team, but with explicit machine boundaries. Rather than using one monolithic agent, the design separates concerns so that intake, retrieval, reasoning, recommendation, and review can be independently controlled and evaluated. This is consistent with enterprise guidance that specialized agents and orchestrated workflows improve clarity, scalability, and governance in real-world automation. [R1]</w:t>
      </w:r>
    </w:p>
    <w:p>
      <w:pPr>
        <w:spacing w:after="120"/>
      </w:pPr>
      <w:r>
        <w:t>At runtime, the Orchestrator creates a case plan and decides whether the case can be handled in a mostly sequential flow or whether parallel retrieval is useful. For example, operational data lookup and RAG retrieval can run independently, after which the Root Cause Agent synthesizes both outputs. Before any business-impacting action is performed, the Reflection Agent and risk policy gate determine whether the result can be shown directly to the analyst or must go through a human approval step. This mirrors the maker-checker or manager-checker patterns commonly recommended for enterprise agentic solutions. [R1][R2][R5]</w:t>
      </w:r>
    </w:p>
    <w:p>
      <w:pPr>
        <w:pStyle w:val="Heading2"/>
      </w:pPr>
      <w:r>
        <w:t>3.2 Memory Design</w:t>
      </w:r>
    </w:p>
    <w:p>
      <w:pPr>
        <w:spacing w:after="120"/>
      </w:pPr>
      <w:r>
        <w:t>The memory architecture is deliberately layered to separate short-term context from long-lived knowledge and compliance-relevant traces. This reduces the risk of uncontrolled context growth while preserving useful operational learning. It also reflects current security guidance that memory and context can become a meaningful attack surface if they are not scoped, governed, and validated. [R4][R5]</w:t>
      </w:r>
    </w:p>
    <w:p>
      <w:pPr>
        <w:pStyle w:val="ListBullet"/>
      </w:pPr>
      <w:r>
        <w:rPr>
          <w:b/>
        </w:rPr>
        <w:t xml:space="preserve">Working Memory: </w:t>
      </w:r>
      <w:r>
        <w:t>Stores the active case state, extracted entities, evidence bundle, current hypotheses, and pending approval status for the current investigation. [R4][R5]</w:t>
      </w:r>
    </w:p>
    <w:p>
      <w:pPr>
        <w:pStyle w:val="ListBullet"/>
      </w:pPr>
      <w:r>
        <w:rPr>
          <w:b/>
        </w:rPr>
        <w:t xml:space="preserve">Episodic Memory: </w:t>
      </w:r>
      <w:r>
        <w:t>Stores prior case patterns, analyst corrections, successful resolution paths, and case outcome summaries. This supports case similarity and learning from human overrides. [R4][R5]</w:t>
      </w:r>
    </w:p>
    <w:p>
      <w:pPr>
        <w:pStyle w:val="ListBullet"/>
      </w:pPr>
      <w:r>
        <w:rPr>
          <w:b/>
        </w:rPr>
        <w:t xml:space="preserve">Semantic Memory: </w:t>
      </w:r>
      <w:r>
        <w:t>Stores trusted SOPs, policy manuals, settlement rules, escalation matrices, templates, and other document knowledge used in the RAG layer. [R3][R4][R5]</w:t>
      </w:r>
    </w:p>
    <w:p>
      <w:pPr>
        <w:pStyle w:val="ListBullet"/>
      </w:pPr>
      <w:r>
        <w:rPr>
          <w:b/>
        </w:rPr>
        <w:t xml:space="preserve">Audit Memory: </w:t>
      </w:r>
      <w:r>
        <w:t>Stores execution traces such as prompts, retrieved chunks, tool invocations, approvals, denials, timestamps, and case outcomes. [R4][R5]</w:t>
      </w:r>
    </w:p>
    <w:p>
      <w:pPr>
        <w:spacing w:after="120"/>
      </w:pPr>
      <w:r>
        <w:t>Memory controls in the design include data masking for sensitive fields, time-to-live or archival rules for temporary working context, source provenance for semantic memory, and segregation between trusted indexed content and untrusted external content. These controls help address sensitive information disclosure, vector and embedding weaknesses, and memory poisoning risks identified in modern LLM and agentic security guidance. [R4][R5]</w:t>
      </w:r>
    </w:p>
    <w:p>
      <w:pPr>
        <w:pStyle w:val="Heading2"/>
      </w:pPr>
      <w:r>
        <w:t>3.3 RAG Strategy</w:t>
      </w:r>
    </w:p>
    <w:p>
      <w:pPr>
        <w:spacing w:after="120"/>
      </w:pPr>
      <w:r>
        <w:t>The RAG layer is used to retrieve context that analysts normally search manually across SOPs, playbooks, templates, market rules, and settlement calendars. The goal is not to expose the entire document collection to the language model, but to retrieve a small set of high-quality, semantically coherent, policy-relevant passages that can support grounded reasoning and transparent citation. Azure guidance on chunking emphasizes that retrieval quality is strongly influenced by chunk size, semantic coherence, and document structure. [R3][R4]</w:t>
      </w:r>
    </w:p>
    <w:p>
      <w:pPr>
        <w:spacing w:after="120"/>
      </w:pPr>
      <w:r>
        <w:t>For this capstone, the recommended retrieval approach is a hybrid strategy that combines lexical matching for exact operational terms, identifiers, and short phrases with vector-based semantic retrieval for paraphrased or conceptually related guidance. Retrieved results should then be filtered using metadata such as asset class, market, document type, effective date, and version, followed by optional reranking to improve relevance. While the hybrid design is a project recommendation, its core motivation is consistent with the need to optimize relevance and reduce irrelevant context before generation. [R3][R4]</w:t>
      </w:r>
    </w:p>
    <w:p>
      <w:pPr>
        <w:spacing w:after="120"/>
      </w:pPr>
      <w:r>
        <w:t>Chunking should be structure-aware. Documents with headings and subheadings should be segmented by section so that each chunk retains a semantically meaningful unit. Oversized chunks risk overwhelming model context and mixing unrelated information, whereas chunks that are too small may lose essential context. Metadata such as document source, section, version, and jurisdiction should be stored with each chunk to support provenance, filtering, and analyst review. [R3][R4]</w:t>
      </w:r>
    </w:p>
    <w:p>
      <w:pPr>
        <w:pStyle w:val="Heading2"/>
      </w:pPr>
      <w:r>
        <w:t>3.4 Prompt Framework</w:t>
      </w:r>
    </w:p>
    <w:p>
      <w:pPr>
        <w:spacing w:after="120"/>
      </w:pPr>
      <w:r>
        <w:t>The prompt strategy follows a modular design: each agent receives a narrowly scoped prompt aligned to its responsibility, along with structured output requirements. This is safer and easier to evaluate than a single large prompt because system behavior can be constrained, expected outputs can be validated, and sensitive tool access can be isolated from open-ended reasoning. OWASP guidance specifically recommends constraining model behavior, defining expected output formats, and enforcing human approval for high-risk operations. [R4][R2]</w:t>
      </w:r>
    </w:p>
    <w:p>
      <w:pPr>
        <w:spacing w:after="120"/>
      </w:pPr>
      <w:r>
        <w:t>The Orchestrator prompt defines planning rules, tool boundaries, confidence handling, and approval routing. The Intake prompt enforces strict classification schema. The Retrieval prompt focuses only on evidence collection. The RAG prompt requires citations with source identifiers and sections. The Root Cause prompt explicitly separates facts, assumptions, and missing evidence. The Recommendation prompt favors reversible actions and must label whether approval is required. Finally, the Reflection prompt critiques the recommendation before it is surfaced or executed. This maker-checker discipline is central to safe agent design. [R1][R2][R4][R5]</w:t>
      </w:r>
    </w:p>
    <w:p>
      <w:pPr>
        <w:pStyle w:val="Heading2"/>
      </w:pPr>
      <w:r>
        <w:t>3.5 Data Sources and Data Ingestion</w:t>
      </w:r>
    </w:p>
    <w:p>
      <w:pPr>
        <w:spacing w:after="120"/>
      </w:pPr>
      <w:r>
        <w:t>The solution will use a combination of synthetic operational datasets, dummy APIs, and curated knowledge documents. This design satisfies capstone expectations while also approximating an enterprise environment with multiple data modalities. Synthetic structured datasets will represent trades, settlement events, counterparties, SSI records, reference data, holiday calendars, exceptions, and historical case outcomes. Dummy APIs will expose controlled endpoints for retrieving these records during investigations. Trusted documents for RAG will include SOPs, playbooks, escalation matrices, templates, and market-specific rules. [R1][R3]</w:t>
      </w:r>
    </w:p>
    <w:p>
      <w:pPr>
        <w:spacing w:after="120"/>
      </w:pPr>
      <w:r>
        <w:t>Document ingestion should follow a repeatable pipeline: collect trusted documents, preprocess them if necessary, apply structure-aware chunking, enrich chunk metadata, embed and index them, and maintain document versioning. Azure’s chunking guidance notes that loading and chunking can be combined for simplicity or separated when the architecture requires reuse, inspection, or security segmentation of preprocessed artifacts. [R3]</w:t>
      </w:r>
    </w:p>
    <w:p>
      <w:pPr>
        <w:pStyle w:val="Heading2"/>
      </w:pPr>
      <w:r>
        <w:t>3.6 Human-in-the-Loop Design</w:t>
      </w:r>
    </w:p>
    <w:p>
      <w:pPr>
        <w:spacing w:after="120"/>
      </w:pPr>
      <w:r>
        <w:t>Human-in-the-loop is a first-class design principle, not an afterthought. The capstone will require approval for actions such as modifying case state, sending external communication drafts, applying escalations, or executing any simulated privileged tool operation. n8n’s human review pattern is directly relevant because it allows a workflow to pause until a reviewer approves or denies the tool action, and it encourages clear reviewer messages that explain the intended tool and parameters. [R2]</w:t>
      </w:r>
    </w:p>
    <w:p>
      <w:pPr>
        <w:spacing w:after="120"/>
      </w:pPr>
      <w:r>
        <w:t>This project will use HITL under three primary conditions: when the proposed action is medium or high risk, when model confidence is below a configured threshold, or when evidence is incomplete or contradictory. The approval panel will show the rationale, evidence sources, proposed action, and risk label so that the human reviewer can make an informed decision. This approach also aligns with OWASP’s recommendation that high-risk actions require human approval and that agents should operate with least privilege and explicit control boundaries. [R2][R4][R5]</w:t>
      </w:r>
    </w:p>
    <w:p>
      <w:pPr>
        <w:pStyle w:val="Heading2"/>
      </w:pPr>
      <w:r>
        <w:t>3.7 Evaluation Metrics</w:t>
      </w:r>
    </w:p>
    <w:p>
      <w:pPr>
        <w:spacing w:after="120"/>
      </w:pPr>
      <w:r>
        <w:t>The evaluation plan will measure both AI quality and workflow quality. Retrieval quality should be measured through Precision@k, Recall@k, citation correctness, and groundedness. Classification quality should be measured using exception-type accuracy, F1 score, and confidence calibration. Analytical quality should assess whether the primary root-cause hypothesis matches the labeled outcome and whether the recommendation contains unsupported claims. These metrics are important because poor retrieval or unsupported reasoning directly reduce trust and decision quality in high-stakes workflows. [R3][R4]</w:t>
      </w:r>
    </w:p>
    <w:p>
      <w:pPr>
        <w:spacing w:after="120"/>
      </w:pPr>
      <w:r>
        <w:t>Workflow quality should be measured through mean time to triage, mean time to recommendation, simulated mean time to resolution, human override rate, low-confidence escalation rate, and approval acceptance or rejection rate. Security and governance metrics should include prompt injection test pass rate, sensitive-data leakage incidents, unauthorized tool-call attempts blocked, and audit completeness. These dimensions reflect the reality that agentic systems must be evaluated not only on linguistic fluency, but on behavior, safety, and process impact. [R2][R4][R5]</w:t>
      </w:r>
    </w:p>
    <w:p>
      <w:pPr>
        <w:pStyle w:val="Heading2"/>
      </w:pPr>
      <w:r>
        <w:t>3.8 Security and Non-Functional Requirements</w:t>
      </w:r>
    </w:p>
    <w:p>
      <w:pPr>
        <w:spacing w:after="120"/>
      </w:pPr>
      <w:r>
        <w:t>Security is a foundational requirement for this capstone because an agentic system can retrieve sensitive data, invoke tools, and influence real workflow outcomes even in a simulated environment. Microsoft’s security guidance for agentic systems emphasizes that risk is no longer only about bad output; it is about bad outcomes caused by excessive permissions, unsafe tool chaining, memory poisoning, or poor governance. OWASP’s LLM guidance similarly identifies prompt injection, sensitive information disclosure, excessive agency, improper output handling, vector weaknesses, and unbounded consumption as common failure modes that must be mitigated. [R4][R5]</w:t>
      </w:r>
    </w:p>
    <w:p>
      <w:pPr>
        <w:spacing w:after="120"/>
      </w:pPr>
      <w:r>
        <w:t>The minimum baseline for this design includes role-based access control, least-privilege tool permissions, prompt and tool-output validation, PII masking in logs and UI, source provenance for all retrieved documents, confidence-based approval routing, full audit logging, secure secret handling, rate and cost guardrails, and observability for every major step in the case lifecycle. In addition to security, the platform should meet non-functional requirements for reliability, latency, usability, traceability, and recoverability. The system should degrade gracefully when a lookup source is unavailable and should always preserve enough trace information to reproduce or debug a decision path. [R1][R4][R5]</w:t>
      </w:r>
    </w:p>
    <w:p>
      <w:pPr>
        <w:pStyle w:val="Heading2"/>
      </w:pPr>
      <w:r>
        <w:t>3.9 Streamlit User Experience</w:t>
      </w:r>
    </w:p>
    <w:p>
      <w:pPr>
        <w:spacing w:after="120"/>
      </w:pPr>
      <w:r>
        <w:t>The Streamlit interface should resemble an analyst workstation rather than a simple chat page. Recommended modules include a dashboard for case volumes and pending approvals, a case-intake screen for structured entry or file upload, a case workspace for evidence and recommendations, an approval panel for HITL review, a knowledge explorer for manual policy inspection, and an evaluation dashboard for quality and governance metrics. This structure reinforces the notion that the project is a workflow application with controlled operations rather than an unconstrained conversational assistant. [R1][R2][R5]</w:t>
      </w:r>
    </w:p>
    <w:p>
      <w:pPr>
        <w:pStyle w:val="Heading1"/>
      </w:pPr>
      <w:r>
        <w:t>4. Conclusions</w:t>
      </w:r>
    </w:p>
    <w:p>
      <w:pPr>
        <w:spacing w:after="120"/>
      </w:pPr>
      <w:r>
        <w:t>This formal design document establishes a senior-level capstone blueprint for a Capital Markets Trade Break &amp; Settlement Exception Resolution Agent. The proposed system is intentionally designed as an enterprise-style agentic application: it uses specialized agents, approved tools, grounded retrieval, layered memory, reflection, and human approval to solve a real operations problem. The result is not merely a knowledge assistant, but a governed workflow participant that can gather evidence, recommend actions, and remain accountable through auditability and clear control boundaries. [R1][R2][R4][R5]</w:t>
      </w:r>
    </w:p>
    <w:p>
      <w:pPr>
        <w:spacing w:after="120"/>
      </w:pPr>
      <w:r>
        <w:t>The design is also implementation-ready. It defines the end-to-end architecture, data flow, major agents, RAG principles, prompt framework, security baseline, and user experience needed for the next phase of the capstone. By keeping risky actions behind approval gates and grounding recommendations in trusted knowledge sources and operational evidence, the solution aligns with contemporary guidance for secure, observable, and production-oriented agentic AI systems. [R1][R3][R4][R5]</w:t>
      </w:r>
    </w:p>
    <w:p>
      <w:pPr>
        <w:spacing w:after="120"/>
      </w:pPr>
      <w:r>
        <w:t>In the implementation phase, this document can be translated into a technical blueprint covering folder structure, component interfaces, API contracts, synthetic data generation, evaluation harnesses, and a phased delivery plan. That next step will convert the conceptual design into an executable capstone project while preserving the business value, governance posture, and technical rigor defined in this report. [R1][R3][R5]</w:t>
      </w:r>
    </w:p>
    <w:p>
      <w:pPr>
        <w:pStyle w:val="Heading1"/>
      </w:pPr>
      <w:r>
        <w:t>References</w:t>
      </w:r>
    </w:p>
    <w:p>
      <w:pPr>
        <w:spacing w:after="120"/>
      </w:pPr>
      <w:r>
        <w:t>[R1] Microsoft Azure Blog, “Agent Factory: The new era of agentic AI—common use cases and design patterns,” 2025. Source ID: turn2search5.</w:t>
      </w:r>
    </w:p>
    <w:p>
      <w:pPr>
        <w:spacing w:after="120"/>
      </w:pPr>
      <w:r>
        <w:t>[R2] n8n Documentation, “Human-in-the-loop for AI tool calls.” Source ID: turn2search1.</w:t>
      </w:r>
    </w:p>
    <w:p>
      <w:pPr>
        <w:spacing w:after="120"/>
      </w:pPr>
      <w:r>
        <w:t>[R3] Microsoft Learn, “Develop a RAG Solution - Chunking Phase.” Source ID: turn2search3.</w:t>
      </w:r>
    </w:p>
    <w:p>
      <w:pPr>
        <w:spacing w:after="120"/>
      </w:pPr>
      <w:r>
        <w:t>[R4] OWASP Foundation, “OWASP Top 10 for LLM Applications 2025.” Source ID: turn2search4.</w:t>
      </w:r>
    </w:p>
    <w:p>
      <w:pPr>
        <w:spacing w:after="120"/>
      </w:pPr>
      <w:r>
        <w:t>[R5] Microsoft Security Blog, “Addressing the OWASP Top 10 Risks in Agentic AI with Microsoft Copilot Studio,” 2026. Source ID: turn2search2.</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Capital Markets Trade Break &amp; Settlement Exception Resolution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Formal Capstone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hAnsi="Calibri"/>
      <w:b/>
      <w:color w:val="1F4E79"/>
      <w:sz w:val="44"/>
    </w:rPr>
  </w:style>
  <w:style w:type="paragraph" w:customStyle="1" w:styleId="CustomSubtitle">
    <w:name w:val="CustomSubtitle"/>
    <w:rPr>
      <w:rFonts w:ascii="Calibri" w:hAnsi="Calibri"/>
      <w:i/>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Swapnil M Bawankar</dc:creator>
  <keywords/>
  <dc:description>generated by python-docx</dc:description>
  <lastModifiedBy>Swapnil M Bawankar</lastModifiedBy>
  <revision>1</revision>
  <dcterms:created xsi:type="dcterms:W3CDTF">2026-06-01T12:53:42.3377400Z</dcterms:created>
  <dcterms:modified xsi:type="dcterms:W3CDTF">2026-06-01T12:53:42.3377400Z</dcterms:modified>
  <category/>
</coreProperties>
</file>