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Cmake overview 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11"/>
        <w:gridCol w:w="7532"/>
        <w:gridCol w:w="1200"/>
      </w:tblGrid>
      <w:tr>
        <w:trPr/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7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</w:tr>
      <w:tr>
        <w:trPr/>
        <w:tc>
          <w:tcPr>
            <w:tcW w:w="9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Intial Version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>
        <w:trPr/>
        <w:tc>
          <w:tcPr>
            <w:tcW w:w="9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62" w:hRule="atLeast"/>
        </w:trPr>
        <w:tc>
          <w:tcPr>
            <w:tcW w:w="9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Contents</w:t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W w:w="9643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8004"/>
        <w:gridCol w:w="964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TableContents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8004" w:type="dxa"/>
            <w:tcBorders/>
            <w:shd w:fill="auto" w:val="clear"/>
          </w:tcPr>
          <w:p>
            <w:pPr>
              <w:pStyle w:val="TableContents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TableContents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0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0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Specification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0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0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Requirement</w:t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00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Introduction:</w:t>
      </w:r>
    </w:p>
    <w:p>
      <w:pPr>
        <w:pStyle w:val="Normal"/>
        <w:jc w:val="bot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u w:val="none"/>
        </w:rPr>
        <w:t xml:space="preserve">CMake is a cross-platform, free and open-source make system. It is used to control the software compilation process using simple platform-independent and compiler-independent configuration files. It generates native makefiles and workspaces that can be used in the compiler environment of your choice.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u w:val="none"/>
        </w:rPr>
        <w:t xml:space="preserve">It supports directory hierarchies and applications that depend on multiple libraries. It is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used in conjunction with native build environments such as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Make, Qt Creator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Ninja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, Apple'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 XCode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and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Microsoft visual studio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u w:val="none"/>
        </w:rPr>
        <w:t xml:space="preserve"> </w:t>
      </w:r>
    </w:p>
    <w:p>
      <w:pPr>
        <w:pStyle w:val="Normal"/>
        <w:jc w:val="bot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u w:val="none"/>
        </w:rPr>
        <w:t xml:space="preserve">It has minimal dependencies, requiring only a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u w:val="none"/>
        </w:rPr>
        <w:t xml:space="preserve">c++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u w:val="none"/>
        </w:rPr>
        <w:t xml:space="preserve">compiler on its own build system.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u w:val="none"/>
        </w:rPr>
        <w:t>It is quite sophisticated. It is possible to support complex environments requiring system configuration, preprocessor generation, code generation, and template instantiation.</w:t>
      </w:r>
    </w:p>
    <w:p>
      <w:pPr>
        <w:pStyle w:val="Normal"/>
        <w:jc w:val="bot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p>
      <w:pPr>
        <w:pStyle w:val="Normal"/>
        <w:jc w:val="bot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3</Pages>
  <Words>136</Words>
  <Characters>816</Characters>
  <CharactersWithSpaces>929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2019-11-09T08:20:05Z</dcterms:created>
  <dc:creator/>
  <dc:description/>
  <dc:language>en-US</dc:language>
  <cp:lastModifiedBy/>
  <dcterms:modified xsi:type="dcterms:W3CDTF">2019-11-09T08:37:48Z</dcterms:modified>
  <cp:revision>7</cp:revision>
  <dc:subject/>
  <dc:title/>
</cp:coreProperties>
</file>