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Dummy Responses – Integrated R&amp;D Tax Credit Interview Questionnaire</w:t>
      </w:r>
    </w:p>
    <w:p>
      <w:pPr>
        <w:pStyle w:val="Heading2"/>
      </w:pPr>
      <w:r>
        <w:t>SECTION A — Business Overview &amp; Eligibility Context</w:t>
      </w:r>
    </w:p>
    <w:p>
      <w:r>
        <w:t>1. NeuralAxis Technologies Inc. develops AI-driven analytics software for enterprise supply chain optimization.</w:t>
      </w:r>
    </w:p>
    <w:p>
      <w:r>
        <w:t>2. The company offers a forecasting engine, optimization dashboard, and real-time inventory analytics API.</w:t>
      </w:r>
    </w:p>
    <w:p>
      <w:r>
        <w:t>3. Development activities are conducted by Software Engineering, Data Science, and Cloud Infrastructure teams.</w:t>
      </w:r>
    </w:p>
    <w:p>
      <w:r>
        <w:t>4. All research activities are performed in Austin, TX and Denver, CO (United States).</w:t>
      </w:r>
    </w:p>
    <w:p>
      <w:r>
        <w:t>5. The company has not claimed the R&amp;D credit in prior years.</w:t>
      </w:r>
    </w:p>
    <w:p>
      <w:r>
        <w:t>6. Gross receipts: 2025 – $12,500,000; 2024 – $9,400,000; 2023 – $7,100,000; 2022 – $5,200,000.</w:t>
      </w:r>
    </w:p>
    <w:p>
      <w:r>
        <w:t>7. No research activities were funded by third parties or government grants.</w:t>
      </w:r>
    </w:p>
    <w:p>
      <w:r>
        <w:t>8. No wages were used for ERC, WOTC, or other overlapping credits.</w:t>
      </w:r>
    </w:p>
    <w:p>
      <w:pPr>
        <w:pStyle w:val="Heading2"/>
      </w:pPr>
      <w:r>
        <w:t>SECTION B — Project Identification &amp; Business Components</w:t>
      </w:r>
    </w:p>
    <w:p>
      <w:r>
        <w:t>9. Project P001 – Adaptive Demand Forecasting Engine v2.</w:t>
      </w:r>
    </w:p>
    <w:p>
      <w:r>
        <w:t>10. Enhanced AI-based demand forecasting software platform.</w:t>
      </w:r>
    </w:p>
    <w:p>
      <w:r>
        <w:t>11. Targeted reduction of forecast error below 8% and improved scalability under volatile datasets.</w:t>
      </w:r>
    </w:p>
    <w:p>
      <w:r>
        <w:t>12. Start: January 15, 2025 | End: November 30, 2025.</w:t>
      </w:r>
    </w:p>
    <w:p>
      <w:r>
        <w:t>13. The project was internally funded.</w:t>
      </w:r>
    </w:p>
    <w:p>
      <w:r>
        <w:t>14. The outcome was not known at the beginning due to model performance uncertainty.</w:t>
      </w:r>
    </w:p>
    <w:p>
      <w:pPr>
        <w:pStyle w:val="Heading2"/>
      </w:pPr>
      <w:r>
        <w:t>SECTION C — Four-Part Test Qualification (Per Project)</w:t>
      </w:r>
    </w:p>
    <w:p>
      <w:r>
        <w:t>15. Uncertainty existed regarding whether ensemble machine learning models would outperform legacy regression models.</w:t>
      </w:r>
    </w:p>
    <w:p>
      <w:r>
        <w:t>16. It was unknown which algorithm architecture would deliver stable performance under volatile seasonal demand.</w:t>
      </w:r>
    </w:p>
    <w:p>
      <w:r>
        <w:t>17. Standard industry models could not reliably handle the data variability present in client datasets.</w:t>
      </w:r>
    </w:p>
    <w:p>
      <w:r>
        <w:t>18. Alternatives evaluated included ARIMA models, gradient boosting, and LSTM-based neural networks.</w:t>
      </w:r>
    </w:p>
    <w:p>
      <w:r>
        <w:t>19. Multiple prototype models and sandbox test environments were created.</w:t>
      </w:r>
    </w:p>
    <w:p>
      <w:r>
        <w:t>20. The team conducted iterative benchmarking and stress testing across historical and simulated datasets.</w:t>
      </w:r>
    </w:p>
    <w:p>
      <w:r>
        <w:t>21. Initial models overfit training data and required redesign of feature engineering pipelines.</w:t>
      </w:r>
    </w:p>
    <w:p>
      <w:r>
        <w:t>22. Principles of computer science, statistics, and machine learning engineering were applied.</w:t>
      </w:r>
    </w:p>
    <w:p>
      <w:r>
        <w:t>23. Software engineers and data scientists were primarily involved.</w:t>
      </w:r>
    </w:p>
    <w:p>
      <w:r>
        <w:t>24. The final model achieved consistent performance improvement across high-variance categories.</w:t>
      </w:r>
    </w:p>
    <w:p>
      <w:pPr>
        <w:pStyle w:val="Heading2"/>
      </w:pPr>
      <w:r>
        <w:t>SECTION D — Employee Activities &amp; Wage Allocation</w:t>
      </w:r>
    </w:p>
    <w:p>
      <w:r>
        <w:t>25. Samantha Lee (Senior Software Engineer) and Daniel Ortega (Data Scientist).</w:t>
      </w:r>
    </w:p>
    <w:p>
      <w:r>
        <w:t>26. Samantha led backend system integration; Daniel developed predictive models and conducted experiments.</w:t>
      </w:r>
    </w:p>
    <w:p>
      <w:r>
        <w:t>27. Activities included algorithm design, model testing, performance benchmarking, and system refactoring.</w:t>
      </w:r>
    </w:p>
    <w:p>
      <w:r>
        <w:t>28. Samantha – 65%; Daniel – 70%.</w:t>
      </w:r>
    </w:p>
    <w:p>
      <w:r>
        <w:t>29. Percentages were determined through structured interviews with project leads.</w:t>
      </w:r>
    </w:p>
    <w:p>
      <w:r>
        <w:t>30. Samantha – $165,000; Daniel – $158,000.</w:t>
      </w:r>
    </w:p>
    <w:p>
      <w:r>
        <w:t>31. No owners or executives were included in qualified wage allocation.</w:t>
      </w:r>
    </w:p>
    <w:p>
      <w:pPr>
        <w:pStyle w:val="Heading2"/>
      </w:pPr>
      <w:r>
        <w:t>SECTION E — Contractor, Supply &amp; Cloud Expenditures</w:t>
      </w:r>
    </w:p>
    <w:p>
      <w:r>
        <w:t>32. CloudOps AI Consulting LLC assisted with performance optimization.</w:t>
      </w:r>
    </w:p>
    <w:p>
      <w:r>
        <w:t>33. Services included scalability testing and infrastructure performance tuning.</w:t>
      </w:r>
    </w:p>
    <w:p>
      <w:r>
        <w:t>34. Total contractor payments: $85,000.</w:t>
      </w:r>
    </w:p>
    <w:p>
      <w:r>
        <w:t>35. The company retained full rights to all developed work.</w:t>
      </w:r>
    </w:p>
    <w:p>
      <w:r>
        <w:t>36. The company bore full financial risk of the project.</w:t>
      </w:r>
    </w:p>
    <w:p>
      <w:r>
        <w:t>37. A GPU workstation was purchased and used for model training experiments.</w:t>
      </w:r>
    </w:p>
    <w:p>
      <w:r>
        <w:t>38. AWS cloud compute services were used for model training and stress testing.</w:t>
      </w:r>
    </w:p>
    <w:p>
      <w:r>
        <w:t>39. Supporting references include MSA-NA-2025-004 and AWS billing statement AWS-NA-2025-12.</w:t>
      </w:r>
    </w:p>
    <w:p>
      <w:pPr>
        <w:pStyle w:val="Heading2"/>
      </w:pPr>
      <w:r>
        <w:t>SECTION F — Documentation &amp; Audit Support</w:t>
      </w:r>
    </w:p>
    <w:p>
      <w:r>
        <w:t>40. Yes, Jira sprint logs and ticket histories are available.</w:t>
      </w:r>
    </w:p>
    <w:p>
      <w:r>
        <w:t>41. Yes, GitHub repositories with commit history are maintained.</w:t>
      </w:r>
    </w:p>
    <w:p>
      <w:r>
        <w:t>42. Yes, architecture diagrams and technical design documents are available.</w:t>
      </w:r>
    </w:p>
    <w:p>
      <w:r>
        <w:t>43. Yes, model performance benchmark reports are retained.</w:t>
      </w:r>
    </w:p>
    <w:p>
      <w:r>
        <w:t>44. Payroll records and allocation worksheets are maintained.</w:t>
      </w:r>
    </w:p>
    <w:p>
      <w:r>
        <w:t>45. Technical uncertainty and experimentation can be substantiated through version history, benchmark comparisons, and test logs.</w:t>
      </w:r>
    </w:p>
    <w:p>
      <w:pPr>
        <w:pStyle w:val="Heading2"/>
      </w:pPr>
      <w:r>
        <w:t>SECTION G — Final Compliance &amp; Risk Review</w:t>
      </w:r>
    </w:p>
    <w:p>
      <w:r>
        <w:t>46. No research activities were conducted outside the United States.</w:t>
      </w:r>
    </w:p>
    <w:p>
      <w:r>
        <w:t>47. No projects were fully reimbursed regardless of outcome.</w:t>
      </w:r>
    </w:p>
    <w:p>
      <w:r>
        <w:t>48. Improvements were functional and performance-based, not cosmetic.</w:t>
      </w:r>
    </w:p>
    <w:p>
      <w:r>
        <w:t>49. No known weaknesses in documentation at this time.</w:t>
      </w:r>
    </w:p>
    <w:p>
      <w:r>
        <w:t>50. All research activities were conducted internally and align with Section 41 qualification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