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B45309"/>
          <w:sz w:val="24"/>
        </w:rPr>
        <w:t>MARATHA VIDYA PRASARAK SAMAJ'S</w:t>
        <w:br/>
      </w:r>
      <w:r>
        <w:rPr>
          <w:rFonts w:ascii="Arial" w:hAnsi="Arial"/>
          <w:b/>
          <w:color w:val="1E3A8A"/>
          <w:sz w:val="30"/>
        </w:rPr>
        <w:t>Karmaveer Adv. Baburao Ganpatrao Thakare</w:t>
        <w:br/>
        <w:t xml:space="preserve">College of Engineering </w:t>
      </w:r>
      <w:r>
        <w:rPr>
          <w:rFonts w:ascii="Arial" w:hAnsi="Arial"/>
          <w:i/>
          <w:color w:val="505050"/>
          <w:sz w:val="21"/>
        </w:rPr>
        <w:t>(An Autonomous Institute)</w:t>
        <w:br/>
      </w:r>
      <w:r>
        <w:rPr>
          <w:rFonts w:ascii="Arial" w:hAnsi="Arial"/>
          <w:color w:val="505050"/>
          <w:sz w:val="17"/>
        </w:rPr>
        <w:t>Permanently Affiliated to Savitribai Phule Pune University | Accredited by NAAC with 'A++' Grade</w:t>
        <w:br/>
      </w:r>
    </w:p>
    <w:p>
      <w:pPr>
        <w:spacing w:after="720"/>
      </w:pPr>
    </w:p>
    <w:p>
      <w:pPr>
        <w:spacing w:after="480"/>
        <w:jc w:val="center"/>
      </w:pPr>
      <w:r>
        <w:rPr>
          <w:rFonts w:ascii="Arial" w:hAnsi="Arial"/>
          <w:b/>
          <w:color w:val="000000"/>
          <w:sz w:val="28"/>
        </w:rPr>
        <w:t>IBM SKILLSBUILD / BOOTCAMP CAPSTONE PROJECT</w:t>
        <w:br/>
        <w:t>PROJECT REPORT</w:t>
      </w:r>
    </w:p>
    <w:p>
      <w:pPr>
        <w:spacing w:after="80"/>
        <w:jc w:val="center"/>
      </w:pPr>
      <w:r>
        <w:rPr>
          <w:rFonts w:ascii="Arial" w:hAnsi="Arial"/>
          <w:b/>
          <w:color w:val="000000"/>
          <w:sz w:val="26"/>
        </w:rPr>
        <w:t>TITLE</w:t>
      </w:r>
    </w:p>
    <w:p>
      <w:pPr>
        <w:spacing w:after="960"/>
        <w:jc w:val="center"/>
      </w:pPr>
      <w:r>
        <w:rPr>
          <w:rFonts w:ascii="Arial" w:hAnsi="Arial"/>
          <w:b/>
          <w:color w:val="000000"/>
          <w:sz w:val="30"/>
        </w:rPr>
        <w:t>CYBERPULSE: AN AUTONOMOUS MULTI-SOURCE CYBER THREAT</w:t>
        <w:br/>
        <w:t>INTELLIGENCE &amp; SOC INCIDENT CONTAINMENT PLATFORM</w:t>
      </w:r>
    </w:p>
    <w:p>
      <w:pPr>
        <w:spacing w:line="300" w:lineRule="auto" w:after="0"/>
        <w:jc w:val="left"/>
      </w:pPr>
      <w:r>
        <w:rPr>
          <w:rFonts w:ascii="Arial" w:hAnsi="Arial"/>
          <w:b/>
          <w:color w:val="000000"/>
          <w:sz w:val="21"/>
        </w:rPr>
        <w:t xml:space="preserve">SUBMITTED BY: </w:t>
      </w:r>
      <w:r>
        <w:rPr>
          <w:rFonts w:ascii="Arial" w:hAnsi="Arial"/>
          <w:color w:val="000000"/>
          <w:sz w:val="21"/>
        </w:rPr>
        <w:t>Swapnil Chunilal Rathod</w:t>
        <w:br/>
      </w:r>
      <w:r>
        <w:rPr>
          <w:rFonts w:ascii="Arial" w:hAnsi="Arial"/>
          <w:b/>
          <w:color w:val="000000"/>
          <w:sz w:val="21"/>
        </w:rPr>
        <w:t xml:space="preserve">Roll No: </w:t>
      </w:r>
      <w:r>
        <w:rPr>
          <w:rFonts w:ascii="Arial" w:hAnsi="Arial"/>
          <w:color w:val="000000"/>
          <w:sz w:val="21"/>
        </w:rPr>
        <w:t>59</w:t>
        <w:br/>
      </w:r>
      <w:r>
        <w:rPr>
          <w:rFonts w:ascii="Arial" w:hAnsi="Arial"/>
          <w:b/>
          <w:color w:val="000000"/>
          <w:sz w:val="21"/>
        </w:rPr>
        <w:t xml:space="preserve">Class: </w:t>
      </w:r>
      <w:r>
        <w:rPr>
          <w:rFonts w:ascii="Arial" w:hAnsi="Arial"/>
          <w:color w:val="000000"/>
          <w:sz w:val="21"/>
        </w:rPr>
        <w:t>T.Y. Computer Engineering</w:t>
        <w:br/>
      </w:r>
      <w:r>
        <w:rPr>
          <w:rFonts w:ascii="Arial" w:hAnsi="Arial"/>
          <w:b/>
          <w:color w:val="000000"/>
          <w:sz w:val="21"/>
        </w:rPr>
        <w:t xml:space="preserve">Academic Year: </w:t>
      </w:r>
      <w:r>
        <w:rPr>
          <w:rFonts w:ascii="Arial" w:hAnsi="Arial"/>
          <w:color w:val="000000"/>
          <w:sz w:val="21"/>
        </w:rPr>
        <w:t>2026 – 2027</w:t>
        <w:br/>
      </w:r>
      <w:r>
        <w:rPr>
          <w:rFonts w:ascii="Arial" w:hAnsi="Arial"/>
          <w:b/>
          <w:color w:val="000000"/>
          <w:sz w:val="21"/>
        </w:rPr>
        <w:t xml:space="preserve">Evaluation Track: </w:t>
      </w:r>
      <w:r>
        <w:rPr>
          <w:rFonts w:ascii="Arial" w:hAnsi="Arial"/>
          <w:color w:val="000000"/>
          <w:sz w:val="21"/>
        </w:rPr>
        <w:t>IBM Bootcamp / Cybersecurity &amp; SOC Engineering</w:t>
        <w:br/>
      </w:r>
      <w:r>
        <w:rPr>
          <w:rFonts w:ascii="Arial" w:hAnsi="Arial"/>
          <w:b/>
          <w:color w:val="000000"/>
          <w:sz w:val="21"/>
        </w:rPr>
        <w:t xml:space="preserve">DEPARTMENT: </w:t>
      </w:r>
      <w:r>
        <w:rPr>
          <w:rFonts w:ascii="Arial" w:hAnsi="Arial"/>
          <w:color w:val="000000"/>
          <w:sz w:val="21"/>
        </w:rPr>
        <w:t>DEPARTMENT OF COMPUTER ENGINEERING</w:t>
        <w:br/>
      </w:r>
    </w:p>
    <w:p>
      <w:r>
        <w:br w:type="page"/>
      </w:r>
    </w:p>
    <w:p>
      <w:pPr>
        <w:spacing w:before="0" w:after="240"/>
      </w:pPr>
      <w:r>
        <w:rPr>
          <w:rFonts w:ascii="Arial" w:hAnsi="Arial"/>
          <w:b/>
          <w:color w:val="000000"/>
          <w:sz w:val="28"/>
        </w:rPr>
        <w:t>TABLE OF CONTENTS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F1F5F9"/>
            <w:tcMar>
              <w:top w:w="80" w:type="dxa"/>
              <w:bottom w:w="80" w:type="dxa"/>
              <w:left w:w="100" w:type="dxa"/>
              <w:right w:w="100" w:type="dxa"/>
            </w:tcMar>
            <w:tcBorders>
              <w:top w:val="single" w:sz="6" w:space="0" w:color="000000"/>
              <w:left w:val="single" w:sz="4" w:space="0" w:color="CBD5E1"/>
              <w:bottom w:val="single" w:sz="6" w:space="0" w:color="000000"/>
              <w:right w:val="single" w:sz="4" w:space="0" w:color="CBD5E1"/>
            </w:tcBorders>
          </w:tcPr>
          <w:p>
            <w:pPr>
              <w:spacing w:after="0"/>
            </w:pPr>
            <w:r>
              <w:rPr>
                <w:rFonts w:ascii="Arial" w:hAnsi="Arial"/>
                <w:b/>
                <w:color w:val="000000"/>
                <w:sz w:val="19"/>
              </w:rPr>
              <w:t>Section</w:t>
            </w:r>
          </w:p>
        </w:tc>
        <w:tc>
          <w:tcPr>
            <w:tcW w:type="dxa" w:w="3120"/>
            <w:shd w:val="clear" w:color="auto" w:fill="F1F5F9"/>
            <w:tcMar>
              <w:top w:w="80" w:type="dxa"/>
              <w:bottom w:w="80" w:type="dxa"/>
              <w:left w:w="100" w:type="dxa"/>
              <w:right w:w="100" w:type="dxa"/>
            </w:tcMar>
            <w:tcBorders>
              <w:top w:val="single" w:sz="6" w:space="0" w:color="000000"/>
              <w:left w:val="single" w:sz="4" w:space="0" w:color="CBD5E1"/>
              <w:bottom w:val="single" w:sz="6" w:space="0" w:color="000000"/>
              <w:right w:val="single" w:sz="4" w:space="0" w:color="CBD5E1"/>
            </w:tcBorders>
          </w:tcPr>
          <w:p>
            <w:pPr>
              <w:spacing w:after="0"/>
            </w:pPr>
            <w:r>
              <w:rPr>
                <w:rFonts w:ascii="Arial" w:hAnsi="Arial"/>
                <w:b/>
                <w:color w:val="000000"/>
                <w:sz w:val="19"/>
              </w:rPr>
              <w:t>Title of Section</w:t>
            </w:r>
          </w:p>
        </w:tc>
        <w:tc>
          <w:tcPr>
            <w:tcW w:type="dxa" w:w="3120"/>
            <w:shd w:val="clear" w:color="auto" w:fill="F1F5F9"/>
            <w:tcMar>
              <w:top w:w="80" w:type="dxa"/>
              <w:bottom w:w="80" w:type="dxa"/>
              <w:left w:w="100" w:type="dxa"/>
              <w:right w:w="100" w:type="dxa"/>
            </w:tcMar>
            <w:tcBorders>
              <w:top w:val="single" w:sz="6" w:space="0" w:color="000000"/>
              <w:left w:val="single" w:sz="4" w:space="0" w:color="CBD5E1"/>
              <w:bottom w:val="single" w:sz="6" w:space="0" w:color="000000"/>
              <w:right w:val="single" w:sz="4" w:space="0" w:color="CBD5E1"/>
            </w:tcBorders>
          </w:tcPr>
          <w:p>
            <w:pPr>
              <w:spacing w:after="0"/>
            </w:pPr>
            <w:r>
              <w:rPr>
                <w:rFonts w:ascii="Arial" w:hAnsi="Arial"/>
                <w:b/>
                <w:color w:val="000000"/>
                <w:sz w:val="19"/>
              </w:rPr>
              <w:t>Page No.</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Title Page</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1</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Table of Contents</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2</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1</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Title Page &amp; Executive Details</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1</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2</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Introduction</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3</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3</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Problem Statement</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3</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4</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Objectives &amp; Scope of the Project</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4</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5</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Proposed System &amp; 3-Tier Architecture</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4</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6</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Hardware &amp; Software Requirements</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5</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7</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Core Security Modules &amp; Implementation</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6</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8</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Threat Datasets &amp; Intelligence Feeds</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7</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9</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Automated Testing &amp; Quality Verification</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7</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10</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Deployment &amp; Live Access Channels</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8</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11</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Advantages &amp; SOC ROI Impact</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8</w:t>
            </w:r>
          </w:p>
        </w:tc>
      </w:tr>
      <w:tr>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b/>
                <w:color w:val="000000"/>
                <w:sz w:val="18"/>
              </w:rPr>
              <w:t>12</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pPr>
            <w:r>
              <w:rPr>
                <w:rFonts w:ascii="Arial" w:hAnsi="Arial"/>
                <w:color w:val="000000"/>
                <w:sz w:val="18"/>
              </w:rPr>
              <w:t>Conclusion &amp; References</w:t>
            </w:r>
          </w:p>
        </w:tc>
        <w:tc>
          <w:tcPr>
            <w:tcW w:type="dxa" w:w="3120"/>
            <w:tcMar>
              <w:top w:w="60" w:type="dxa"/>
              <w:bottom w:w="60" w:type="dxa"/>
              <w:left w:w="100" w:type="dxa"/>
              <w:right w:w="100" w:type="dxa"/>
            </w:tcMar>
            <w:tcBorders>
              <w:top w:val="single" w:sz="2" w:space="0" w:color="E2E8F0"/>
              <w:left w:val="single" w:sz="2" w:space="0" w:color="E2E8F0"/>
              <w:bottom w:val="single" w:sz="2" w:space="0" w:color="E2E8F0"/>
              <w:right w:val="single" w:sz="2" w:space="0" w:color="E2E8F0"/>
            </w:tcBorders>
          </w:tcPr>
          <w:p>
            <w:pPr>
              <w:spacing w:after="0"/>
              <w:jc w:val="right"/>
            </w:pPr>
            <w:r>
              <w:rPr>
                <w:rFonts w:ascii="Arial" w:hAnsi="Arial"/>
                <w:color w:val="000000"/>
                <w:sz w:val="18"/>
              </w:rPr>
              <w:t>9</w:t>
            </w:r>
          </w:p>
        </w:tc>
      </w:tr>
    </w:tbl>
    <w:p>
      <w:r>
        <w:br w:type="page"/>
      </w:r>
    </w:p>
    <w:p>
      <w:pPr>
        <w:keepNext/>
        <w:spacing w:before="280" w:after="120"/>
      </w:pPr>
      <w:r>
        <w:rPr>
          <w:rFonts w:ascii="Arial" w:hAnsi="Arial"/>
          <w:b/>
          <w:color w:val="000000"/>
          <w:sz w:val="24"/>
        </w:rPr>
        <w:t>SECTION 2: INTRODUCTION</w:t>
      </w:r>
    </w:p>
    <w:p>
      <w:pPr>
        <w:spacing w:before="0" w:after="80" w:line="276" w:lineRule="auto"/>
      </w:pPr>
      <w:r>
        <w:rPr>
          <w:rFonts w:ascii="Arial" w:hAnsi="Arial"/>
          <w:color w:val="000000"/>
          <w:sz w:val="20"/>
        </w:rPr>
        <w:t>Modern Security Operations Centers (SOCs) operate in high-threat environments where analysts process hundreds of Indicators of Compromise (IOCs) such as malicious IP addresses, domain names, phishing URLs, and file hashes on a daily basis. Manual investigation workflows require analysts to query four to six disparate threat intelligence portals (VirusTotal, AbuseIPDB, AlienVault OTX, WHOIS), consuming 15 to 20 minutes per alert and leading to significant cognitive fatigue.</w:t>
      </w:r>
    </w:p>
    <w:p>
      <w:pPr>
        <w:spacing w:before="0" w:after="80" w:line="276" w:lineRule="auto"/>
      </w:pPr>
      <w:r>
        <w:rPr>
          <w:rFonts w:ascii="Arial" w:hAnsi="Arial"/>
          <w:color w:val="000000"/>
          <w:sz w:val="20"/>
        </w:rPr>
        <w:t>CyberPulse is an autonomous, centralized Cyber Threat Intelligence (CTI) and IOC analysis platform designed to accelerate Tier-1 and Tier-2 incident triage. It automates indicator defanging, aggregates multi-vendor threat reputation, models a 14-day attack velocity spline wave with half-life time decay, protects internal private subnets (RFC 1918 / 127.0.0.1) from false alarms, and synthesizes 1-click defensive containment rules.</w:t>
      </w:r>
    </w:p>
    <w:p>
      <w:pPr>
        <w:spacing w:before="120" w:after="200"/>
        <w:pBdr>
          <w:bottom w:val="single" w:sz="6" w:space="1" w:color="CCCCCC"/>
        </w:pBdr>
      </w:pPr>
    </w:p>
    <w:p>
      <w:pPr>
        <w:keepNext/>
        <w:spacing w:before="280" w:after="120"/>
      </w:pPr>
      <w:r>
        <w:rPr>
          <w:rFonts w:ascii="Arial" w:hAnsi="Arial"/>
          <w:b/>
          <w:color w:val="000000"/>
          <w:sz w:val="24"/>
        </w:rPr>
        <w:t>SECTION 3: PROBLEM STATEMENT</w:t>
      </w:r>
    </w:p>
    <w:p>
      <w:pPr>
        <w:spacing w:before="0" w:after="80" w:line="276" w:lineRule="auto"/>
      </w:pPr>
      <w:r>
        <w:rPr>
          <w:rFonts w:ascii="Arial" w:hAnsi="Arial"/>
          <w:color w:val="000000"/>
          <w:sz w:val="20"/>
        </w:rPr>
        <w:t>Traditional manual SOC indicator triage faces three critical operational bottlenecks:</w:t>
      </w:r>
    </w:p>
    <w:p>
      <w:pPr>
        <w:spacing w:before="0" w:after="80" w:line="276" w:lineRule="auto"/>
      </w:pPr>
      <w:r>
        <w:rPr>
          <w:rFonts w:ascii="Arial" w:hAnsi="Arial"/>
          <w:b/>
          <w:color w:val="000000"/>
          <w:sz w:val="20"/>
        </w:rPr>
        <w:t xml:space="preserve">1. Pivoting &amp; Alert Fatigue: </w:t>
      </w:r>
      <w:r>
        <w:rPr>
          <w:rFonts w:ascii="Arial" w:hAnsi="Arial"/>
          <w:color w:val="000000"/>
          <w:sz w:val="20"/>
        </w:rPr>
        <w:t>Analysts lose valuable time manually pivoting across disconnected threat portals to verify reputations, resulting in delayed containment.</w:t>
      </w:r>
    </w:p>
    <w:p>
      <w:pPr>
        <w:spacing w:before="0" w:after="80" w:line="276" w:lineRule="auto"/>
      </w:pPr>
      <w:r>
        <w:rPr>
          <w:rFonts w:ascii="Arial" w:hAnsi="Arial"/>
          <w:b/>
          <w:color w:val="000000"/>
          <w:sz w:val="20"/>
        </w:rPr>
        <w:t xml:space="preserve">2. False Positives on Internal Assets: </w:t>
      </w:r>
      <w:r>
        <w:rPr>
          <w:rFonts w:ascii="Arial" w:hAnsi="Arial"/>
          <w:color w:val="000000"/>
          <w:sz w:val="20"/>
        </w:rPr>
        <w:t>Naive threat scanners often query public threat databases for private internal network IPs (192.168.x.x, 10.x.x.x, 127.0.0.1), creating false alarms and leaking internal network indicators.</w:t>
      </w:r>
    </w:p>
    <w:p>
      <w:pPr>
        <w:spacing w:before="0" w:after="80" w:line="276" w:lineRule="auto"/>
      </w:pPr>
      <w:r>
        <w:rPr>
          <w:rFonts w:ascii="Arial" w:hAnsi="Arial"/>
          <w:b/>
          <w:color w:val="000000"/>
          <w:sz w:val="20"/>
        </w:rPr>
        <w:t xml:space="preserve">3. Delayed Containment Syntax Authoring: </w:t>
      </w:r>
      <w:r>
        <w:rPr>
          <w:rFonts w:ascii="Arial" w:hAnsi="Arial"/>
          <w:color w:val="000000"/>
          <w:sz w:val="20"/>
        </w:rPr>
        <w:t>After identifying an active threat, analysts must manually format firewall syntax, YARA signatures, or SIEM search queries, creating a window of exposure.</w:t>
      </w:r>
    </w:p>
    <w:p>
      <w:pPr>
        <w:spacing w:before="120" w:after="200"/>
        <w:pBdr>
          <w:bottom w:val="single" w:sz="6" w:space="1" w:color="CCCCCC"/>
        </w:pBdr>
      </w:pPr>
    </w:p>
    <w:p>
      <w:pPr>
        <w:keepNext/>
        <w:spacing w:before="280" w:after="120"/>
      </w:pPr>
      <w:r>
        <w:rPr>
          <w:rFonts w:ascii="Arial" w:hAnsi="Arial"/>
          <w:b/>
          <w:color w:val="000000"/>
          <w:sz w:val="24"/>
        </w:rPr>
        <w:t>SECTION 4: OBJECTIVES &amp; SCOPE OF THE PROJECT</w:t>
      </w:r>
    </w:p>
    <w:p>
      <w:pPr>
        <w:spacing w:before="0" w:after="80" w:line="276" w:lineRule="auto"/>
      </w:pPr>
      <w:r>
        <w:rPr>
          <w:rFonts w:ascii="Arial" w:hAnsi="Arial"/>
          <w:color w:val="000000"/>
          <w:sz w:val="20"/>
        </w:rPr>
        <w:t>4.1 Primary Objectives:</w:t>
      </w:r>
    </w:p>
    <w:p>
      <w:pPr>
        <w:spacing w:before="0" w:after="80" w:line="276" w:lineRule="auto"/>
      </w:pPr>
      <w:r>
        <w:rPr>
          <w:rFonts w:ascii="Arial" w:hAnsi="Arial"/>
          <w:b/>
          <w:color w:val="000000"/>
          <w:sz w:val="20"/>
        </w:rPr>
        <w:t xml:space="preserve">• Automated IOC Ingestion: </w:t>
      </w:r>
      <w:r>
        <w:rPr>
          <w:rFonts w:ascii="Arial" w:hAnsi="Arial"/>
          <w:color w:val="000000"/>
          <w:sz w:val="20"/>
        </w:rPr>
        <w:t>Enable sub-second parsing and defanging for IPv4, IPv6, MD5, SHA-256, Domains, and URLs.</w:t>
      </w:r>
    </w:p>
    <w:p>
      <w:pPr>
        <w:spacing w:before="0" w:after="80" w:line="276" w:lineRule="auto"/>
      </w:pPr>
      <w:r>
        <w:rPr>
          <w:rFonts w:ascii="Arial" w:hAnsi="Arial"/>
          <w:b/>
          <w:color w:val="000000"/>
          <w:sz w:val="20"/>
        </w:rPr>
        <w:t xml:space="preserve">• Unified Threat Scoring: </w:t>
      </w:r>
      <w:r>
        <w:rPr>
          <w:rFonts w:ascii="Arial" w:hAnsi="Arial"/>
          <w:color w:val="000000"/>
          <w:sz w:val="20"/>
        </w:rPr>
        <w:t>Synthesize multi-source detections into a single 0–100 score with exponential time decay.</w:t>
      </w:r>
    </w:p>
    <w:p>
      <w:pPr>
        <w:spacing w:before="0" w:after="80" w:line="276" w:lineRule="auto"/>
      </w:pPr>
      <w:r>
        <w:rPr>
          <w:rFonts w:ascii="Arial" w:hAnsi="Arial"/>
          <w:b/>
          <w:color w:val="000000"/>
          <w:sz w:val="20"/>
        </w:rPr>
        <w:t xml:space="preserve">• Attack Velocity Modeling: </w:t>
      </w:r>
      <w:r>
        <w:rPr>
          <w:rFonts w:ascii="Arial" w:hAnsi="Arial"/>
          <w:color w:val="000000"/>
          <w:sz w:val="20"/>
        </w:rPr>
        <w:t>Generate smooth spline curves tracking 14-day attack velocity with danger threshold alerts.</w:t>
      </w:r>
    </w:p>
    <w:p>
      <w:pPr>
        <w:spacing w:before="0" w:after="80" w:line="276" w:lineRule="auto"/>
      </w:pPr>
      <w:r>
        <w:rPr>
          <w:rFonts w:ascii="Arial" w:hAnsi="Arial"/>
          <w:b/>
          <w:color w:val="000000"/>
          <w:sz w:val="20"/>
        </w:rPr>
        <w:t xml:space="preserve">• Adversary Profiling: </w:t>
      </w:r>
      <w:r>
        <w:rPr>
          <w:rFonts w:ascii="Arial" w:hAnsi="Arial"/>
          <w:color w:val="000000"/>
          <w:sz w:val="20"/>
        </w:rPr>
        <w:t>Correlate observed indicators to MITRE ATT&amp;CK techniques and real hacker toolsets (Mimikatz, PsExec, Evilginx2).</w:t>
      </w:r>
    </w:p>
    <w:p>
      <w:pPr>
        <w:spacing w:before="0" w:after="80" w:line="276" w:lineRule="auto"/>
      </w:pPr>
      <w:r>
        <w:rPr>
          <w:rFonts w:ascii="Arial" w:hAnsi="Arial"/>
          <w:b/>
          <w:color w:val="000000"/>
          <w:sz w:val="20"/>
        </w:rPr>
        <w:t xml:space="preserve">• 1-Click Defensive Containment: </w:t>
      </w:r>
      <w:r>
        <w:rPr>
          <w:rFonts w:ascii="Arial" w:hAnsi="Arial"/>
          <w:color w:val="000000"/>
          <w:sz w:val="20"/>
        </w:rPr>
        <w:t>Produce instant PowerShell, Linux iptables, YARA, and Sigma YAML block rules.</w:t>
      </w:r>
    </w:p>
    <w:p>
      <w:pPr>
        <w:spacing w:before="0" w:after="80" w:line="276" w:lineRule="auto"/>
      </w:pPr>
      <w:r>
        <w:rPr>
          <w:rFonts w:ascii="Arial" w:hAnsi="Arial"/>
          <w:color w:val="000000"/>
          <w:sz w:val="20"/>
        </w:rPr>
        <w:t>4.2 Scope &amp; System Boundaries:</w:t>
      </w:r>
    </w:p>
    <w:p>
      <w:pPr>
        <w:spacing w:before="0" w:after="80" w:line="276" w:lineRule="auto"/>
      </w:pPr>
      <w:r>
        <w:rPr>
          <w:rFonts w:ascii="Arial" w:hAnsi="Arial"/>
          <w:b/>
          <w:color w:val="000000"/>
          <w:sz w:val="20"/>
        </w:rPr>
        <w:t xml:space="preserve">• Functional Scope: </w:t>
      </w:r>
      <w:r>
        <w:rPr>
          <w:rFonts w:ascii="Arial" w:hAnsi="Arial"/>
          <w:color w:val="000000"/>
          <w:sz w:val="20"/>
        </w:rPr>
        <w:t>Supports public IPv4/IPv6, domains, URLs, and file hashes; passive threat correlation and automated defensive containment rule generation.</w:t>
      </w:r>
    </w:p>
    <w:p>
      <w:pPr>
        <w:spacing w:before="0" w:after="80" w:line="276" w:lineRule="auto"/>
      </w:pPr>
      <w:r>
        <w:rPr>
          <w:rFonts w:ascii="Arial" w:hAnsi="Arial"/>
          <w:b/>
          <w:color w:val="000000"/>
          <w:sz w:val="20"/>
        </w:rPr>
        <w:t xml:space="preserve">• Non-Functional Scope: </w:t>
      </w:r>
      <w:r>
        <w:rPr>
          <w:rFonts w:ascii="Arial" w:hAnsi="Arial"/>
          <w:color w:val="000000"/>
          <w:sz w:val="20"/>
        </w:rPr>
        <w:t>Sub-second processing; zero-install cloud availability via GitHub Pages; 100% test reliability with 187 unit tests.</w:t>
      </w:r>
    </w:p>
    <w:p>
      <w:pPr>
        <w:spacing w:before="0" w:after="80" w:line="276" w:lineRule="auto"/>
      </w:pPr>
      <w:r>
        <w:rPr>
          <w:rFonts w:ascii="Arial" w:hAnsi="Arial"/>
          <w:b/>
          <w:color w:val="000000"/>
          <w:sz w:val="20"/>
        </w:rPr>
        <w:t xml:space="preserve">• System Boundaries: </w:t>
      </w:r>
      <w:r>
        <w:rPr>
          <w:rFonts w:ascii="Arial" w:hAnsi="Arial"/>
          <w:color w:val="000000"/>
          <w:sz w:val="20"/>
        </w:rPr>
        <w:t>Platform performs defensive threat intelligence and containment; no active offensive exploitation or destructive scanning.</w:t>
      </w:r>
    </w:p>
    <w:p>
      <w:pPr>
        <w:spacing w:before="120" w:after="200"/>
        <w:pBdr>
          <w:bottom w:val="single" w:sz="6" w:space="1" w:color="CCCCCC"/>
        </w:pBdr>
      </w:pPr>
    </w:p>
    <w:p>
      <w:pPr>
        <w:keepNext/>
        <w:spacing w:before="280" w:after="120"/>
      </w:pPr>
      <w:r>
        <w:rPr>
          <w:rFonts w:ascii="Arial" w:hAnsi="Arial"/>
          <w:b/>
          <w:color w:val="000000"/>
          <w:sz w:val="24"/>
        </w:rPr>
        <w:t>SECTION 5: PROPOSED SYSTEM &amp; SYSTEM ARCHITECTURE</w:t>
      </w:r>
    </w:p>
    <w:p>
      <w:pPr>
        <w:spacing w:before="0" w:after="80" w:line="276" w:lineRule="auto"/>
      </w:pPr>
      <w:r>
        <w:rPr>
          <w:rFonts w:ascii="Arial" w:hAnsi="Arial"/>
          <w:color w:val="000000"/>
          <w:sz w:val="20"/>
        </w:rPr>
        <w:t>CyberPulse follows a clean 3-Tier Web and Telemetry Architecture:</w:t>
      </w:r>
    </w:p>
    <w:p>
      <w:pPr>
        <w:spacing w:before="80" w:after="80"/>
      </w:pPr>
      <w:r>
        <w:rPr>
          <w:rFonts w:ascii="Consolas" w:hAnsi="Consolas"/>
          <w:color w:val="000000"/>
          <w:sz w:val="17"/>
        </w:rPr>
        <w:t>+---------------------------------------------------------------------+</w:t>
        <w:br/>
        <w:t>|                    PRESENTATION TIER (Frontend UI)                  |</w:t>
        <w:br/>
        <w:t>|  • Web SOC Command Center (index.html)  • Streamlit Dashboard (app.py)  |</w:t>
        <w:br/>
        <w:t>|  • Tailwind CSS &amp; Dark Cyber Aesthetic • Vis.js Force Graph &amp; Leaflet  |</w:t>
        <w:br/>
        <w:t>+---------------------------------------------------------------------+</w:t>
        <w:br/>
        <w:t xml:space="preserve">                                  |</w:t>
        <w:br/>
        <w:t xml:space="preserve">                           HTTP / REST APIs</w:t>
        <w:br/>
        <w:t xml:space="preserve">                                  v</w:t>
        <w:br/>
        <w:t>+---------------------------------------------------------------------+</w:t>
        <w:br/>
        <w:t>|                 APPLICATION TIER (Core Security Logic)               |</w:t>
        <w:br/>
        <w:t>|  • detector.py (Defanging &amp; RFC 1918)   • scorer.py (0-100 &amp; Decay)   |</w:t>
        <w:br/>
        <w:t>|  • attack_analyzer.py (MITRE TTPs)      • rule_gen.py (PowerShell/YARA)|</w:t>
        <w:br/>
        <w:t>|  • web_security.py (SSL/TLS Headers)    • report_gen.py (PDF &amp; STIX)  |</w:t>
        <w:br/>
        <w:t>+---------------------------------------------------------------------+</w:t>
        <w:br/>
        <w:t xml:space="preserve">                                  |</w:t>
        <w:br/>
        <w:t xml:space="preserve">                        SQL Queries / Telemetry</w:t>
        <w:br/>
        <w:t xml:space="preserve">                                  v</w:t>
        <w:br/>
        <w:t>+---------------------------------------------------------------------+</w:t>
        <w:br/>
        <w:t>|                     DATA TIER (Storage &amp; Feeds)                      |</w:t>
        <w:br/>
        <w:t>|  • SQLite3 (investigations.db)          • VirusTotal / AbuseIPDB APIs  |</w:t>
        <w:br/>
        <w:t>|  • AlienVault OTX Pulses                • Curated Mock Fixture Engine |</w:t>
        <w:br/>
        <w:t>+---------------------------------------------------------------------+</w:t>
      </w:r>
    </w:p>
    <w:p>
      <w:pPr>
        <w:spacing w:before="120" w:after="200"/>
        <w:pBdr>
          <w:bottom w:val="single" w:sz="6" w:space="1" w:color="CCCCCC"/>
        </w:pBdr>
      </w:pPr>
    </w:p>
    <w:p>
      <w:pPr>
        <w:keepNext/>
        <w:spacing w:before="280" w:after="120"/>
      </w:pPr>
      <w:r>
        <w:rPr>
          <w:rFonts w:ascii="Arial" w:hAnsi="Arial"/>
          <w:b/>
          <w:color w:val="000000"/>
          <w:sz w:val="24"/>
        </w:rPr>
        <w:t>SECTION 6: HARDWARE &amp; SOFTWARE REQUIREMENTS</w:t>
      </w:r>
    </w:p>
    <w:p>
      <w:pPr>
        <w:spacing w:before="0" w:after="80" w:line="276" w:lineRule="auto"/>
      </w:pPr>
      <w:r>
        <w:rPr>
          <w:rFonts w:ascii="Arial" w:hAnsi="Arial"/>
          <w:color w:val="000000"/>
          <w:sz w:val="20"/>
        </w:rPr>
        <w:t>6.1 Hardware Requirements: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Parameter</w:t>
            </w:r>
          </w:p>
        </w:tc>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Minimum Requirement</w:t>
            </w:r>
          </w:p>
        </w:tc>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Recommended Specification</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Processor</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Intel Core i3 (2.0 GHz) / AMD Ryzen 3</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Intel Core i5 (2.5 GHz+) / AMD Ryzen 5</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RAM</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4 GB</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8 GB DDR4</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Storage</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500 MB free disk space</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2 GB SSD storage</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Display Resolution</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1024 × 768 pixels</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1920 × 1080 (Full HD)</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Connectivity</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Standard Internet Connection</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High-Speed Broadband / Wi-Fi</w:t>
            </w:r>
          </w:p>
        </w:tc>
      </w:tr>
    </w:tbl>
    <w:p>
      <w:pPr>
        <w:spacing w:after="120"/>
      </w:pPr>
    </w:p>
    <w:p>
      <w:pPr>
        <w:spacing w:before="0" w:after="80" w:line="276" w:lineRule="auto"/>
      </w:pPr>
      <w:r>
        <w:rPr>
          <w:rFonts w:ascii="Arial" w:hAnsi="Arial"/>
          <w:color w:val="000000"/>
          <w:sz w:val="20"/>
        </w:rPr>
        <w:t>6.2 Software Requirements: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Software Component</w:t>
            </w:r>
          </w:p>
        </w:tc>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Environment / Technology</w:t>
            </w:r>
          </w:p>
        </w:tc>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Operational Purpose</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Operating System</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Windows 10/11, Linux (Ubuntu), macOS</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Development and runtime environment</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Programming Language</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Python 3.10+ &amp; ES6 JavaScript</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Backend logic and interactive UI scripting</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Web Framework</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Flask 3.0+ &amp; Streamlit 1.28+</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REST API backend &amp; analytics dashboard</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Frontend Styling</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HTML5, Tailwind CSS, SVG Graphics</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Responsive SOC Command Center interface</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Visualization Libraries</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Vis.js Network &amp; Leaflet.js</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Threat relationship graphs &amp; dark geo maps</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Database Engine</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SQLite3 (Standard Library)</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Persistent investigation history (investigations.db)</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Reporting Tools</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ReportLab &amp; python-docx</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PDF and Word investigation document generation</w:t>
            </w:r>
          </w:p>
        </w:tc>
      </w:tr>
    </w:tbl>
    <w:p>
      <w:pPr>
        <w:spacing w:after="120"/>
      </w:pPr>
    </w:p>
    <w:p>
      <w:pPr>
        <w:spacing w:before="120" w:after="200"/>
        <w:pBdr>
          <w:bottom w:val="single" w:sz="6" w:space="1" w:color="CCCCCC"/>
        </w:pBdr>
      </w:pPr>
    </w:p>
    <w:p>
      <w:pPr>
        <w:keepNext/>
        <w:spacing w:before="280" w:after="120"/>
      </w:pPr>
      <w:r>
        <w:rPr>
          <w:rFonts w:ascii="Arial" w:hAnsi="Arial"/>
          <w:b/>
          <w:color w:val="000000"/>
          <w:sz w:val="24"/>
        </w:rPr>
        <w:t>SECTION 7: CORE SECURITY MODULES &amp; IMPLEMENTATION</w:t>
      </w:r>
    </w:p>
    <w:p>
      <w:pPr>
        <w:spacing w:before="0" w:after="80" w:line="276" w:lineRule="auto"/>
      </w:pPr>
      <w:r>
        <w:rPr>
          <w:rFonts w:ascii="Arial" w:hAnsi="Arial"/>
          <w:color w:val="000000"/>
          <w:sz w:val="20"/>
        </w:rPr>
        <w:t>The platform is structured into modular, single-responsibility Python security engines: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Module Name</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File Path</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Core Security Role</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Unit Tests</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Detector Engine</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modules/detector.py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Regex IOC classifier, defanging, and RFC 1918 loopback check</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25 Tests (100% Pass)</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Scorer &amp; Velocity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modules/scorer.py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0-100 risk scoring, exponential half-life decay, 14-day velocity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25 Tests (100% Pass)</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Adversary Profiler</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modules/attack_analyzer.py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MITRE ATT&amp;CK mapping and real hacker toolset identification</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17 Tests (100% Pass)</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Rule Synthesizer</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modules/rule_gen.py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1-click PowerShell, Linux iptables, YARA, and Sigma YAML rules</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14 Tests (100% Pass)</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Web Security Audit</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modules/web_security.py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SSL certificate days countdown and OWASP security headers check</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16 Tests (100% Pass)</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Threat Graph Engine</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modules/graph_gen.py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Vis.js force-directed topology linking IOCs, malware, and ASNs</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12 Tests (100% Pass)</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STIX Standardizer</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modules/stix_gen.py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OASIS STIX 2.1 compliant threat intelligence JSON bundle export</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7 Tests (100% Pass)</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REST API Server</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server.py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Flask REST API routing (/api/scan, /api/bulk, /api/rules)</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30 Tests (100% Pass)</w:t>
            </w:r>
          </w:p>
        </w:tc>
      </w:tr>
    </w:tbl>
    <w:p>
      <w:pPr>
        <w:spacing w:after="120"/>
      </w:pPr>
    </w:p>
    <w:p>
      <w:pPr>
        <w:spacing w:before="120" w:after="200"/>
        <w:pBdr>
          <w:bottom w:val="single" w:sz="6" w:space="1" w:color="CCCCCC"/>
        </w:pBdr>
      </w:pPr>
    </w:p>
    <w:p>
      <w:pPr>
        <w:keepNext/>
        <w:spacing w:before="280" w:after="120"/>
      </w:pPr>
      <w:r>
        <w:rPr>
          <w:rFonts w:ascii="Arial" w:hAnsi="Arial"/>
          <w:b/>
          <w:color w:val="000000"/>
          <w:sz w:val="24"/>
        </w:rPr>
        <w:t>SECTION 8: THREAT DATASETS &amp; INTELLIGENCE FEEDS</w:t>
      </w:r>
    </w:p>
    <w:p>
      <w:pPr>
        <w:spacing w:before="0" w:after="80" w:line="276" w:lineRule="auto"/>
      </w:pPr>
      <w:r>
        <w:rPr>
          <w:rFonts w:ascii="Arial" w:hAnsi="Arial"/>
          <w:color w:val="000000"/>
          <w:sz w:val="20"/>
        </w:rPr>
        <w:t>CyberPulse correlates real-world telemetry across authoritative cyber threat providers: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Intelligence Feed</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Feed Source</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Primary Attributes</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Application Function</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AlienVault OTX</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otx.alienvault.com</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Malware pulses, adversary tags, indicators</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Threat correlation &amp; campaign mapping</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AbuseIPDB</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abuseipdb.com</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Abuse confidence score, report count, country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IP reputation &amp; abuse scoring</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VirusTotal V3</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virustotal.com</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AV detections, hash reputation, categories</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Hash, domain &amp; URL malware verification</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IP-API Geolocation</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ip-api.com</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Country, City, ISP, ASN, Latitude/Longitude</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Geospatial origin mapping</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CyberPulse Curated Fixture</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mock_data.py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Tor nodes, LockBit hashes, Phish URLs, RFC 1918</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Offline simulation &amp; test suite validation</w:t>
            </w:r>
          </w:p>
        </w:tc>
      </w:tr>
    </w:tbl>
    <w:p>
      <w:pPr>
        <w:spacing w:after="120"/>
      </w:pPr>
    </w:p>
    <w:p>
      <w:pPr>
        <w:spacing w:before="120" w:after="200"/>
        <w:pBdr>
          <w:bottom w:val="single" w:sz="6" w:space="1" w:color="CCCCCC"/>
        </w:pBdr>
      </w:pPr>
    </w:p>
    <w:p>
      <w:pPr>
        <w:keepNext/>
        <w:spacing w:before="280" w:after="120"/>
      </w:pPr>
      <w:r>
        <w:rPr>
          <w:rFonts w:ascii="Arial" w:hAnsi="Arial"/>
          <w:b/>
          <w:color w:val="000000"/>
          <w:sz w:val="24"/>
        </w:rPr>
        <w:t>SECTION 9: AUTOMATED TESTING &amp; QUALITY VERIFICATION</w:t>
      </w:r>
    </w:p>
    <w:p>
      <w:pPr>
        <w:spacing w:before="0" w:after="80" w:line="276" w:lineRule="auto"/>
      </w:pPr>
      <w:r>
        <w:rPr>
          <w:rFonts w:ascii="Arial" w:hAnsi="Arial"/>
          <w:color w:val="000000"/>
          <w:sz w:val="20"/>
        </w:rPr>
        <w:t>CyberPulse was built adhering to Test-Driven Development (TDD). The automated test suite executed via tests/run_tests.py validates 187 comprehensive test cases with a 100% success rate: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Test Module</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Verification Scope</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Tests</w:t>
            </w:r>
          </w:p>
        </w:tc>
        <w:tc>
          <w:tcPr>
            <w:tcW w:type="dxa" w:w="234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Result</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test_detector.py &amp; test_internal_assets.py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IPv4, IPv6, defanging, loopback 127.0.0.1, RFC 1918 safe scoring</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25</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100% PASSED</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test_scorer.py &amp; test_decay.py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Unified 0-100 risk score weighting, half-life decay formulas</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16</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100% PASSED</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test_velocity.py &amp; test_attacks.py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14-day attack velocity curve, MITRE ATT&amp;CK &amp; hacker toolsets</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26</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100% PASSED</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test_rules.py &amp; test_graph.py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YARA, Sigma, PowerShell firewalls, Vis.js graph ontology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26</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100% PASSED</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test_web_security.py &amp; test_stix.py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SSL/TLS countdown, defensive headers audit, OASIS STIX 2.1 schema</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23</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100% PASSED</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test_api.py &amp; test_app_headless.py</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Flask REST API endpoints, parameter validation, Streamlit state</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35</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100% PASSED</w:t>
            </w:r>
          </w:p>
        </w:tc>
      </w:tr>
      <w:tr>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TOTAL TEST VERIFICATION</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End-to-End System Reliability &amp; Edge Cases</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187</w:t>
            </w:r>
          </w:p>
        </w:tc>
        <w:tc>
          <w:tcPr>
            <w:tcW w:type="dxa" w:w="234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100% ALL PASSED</w:t>
            </w:r>
          </w:p>
        </w:tc>
      </w:tr>
    </w:tbl>
    <w:p>
      <w:pPr>
        <w:spacing w:after="120"/>
      </w:pPr>
    </w:p>
    <w:p>
      <w:pPr>
        <w:spacing w:before="120" w:after="200"/>
        <w:pBdr>
          <w:bottom w:val="single" w:sz="6" w:space="1" w:color="CCCCCC"/>
        </w:pBdr>
      </w:pPr>
    </w:p>
    <w:p>
      <w:pPr>
        <w:keepNext/>
        <w:spacing w:before="280" w:after="120"/>
      </w:pPr>
      <w:r>
        <w:rPr>
          <w:rFonts w:ascii="Arial" w:hAnsi="Arial"/>
          <w:b/>
          <w:color w:val="000000"/>
          <w:sz w:val="24"/>
        </w:rPr>
        <w:t>SECTION 10: DEPLOYMENT &amp; LIVE ACCESS CHANNELS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Deployment Channel</w:t>
            </w:r>
          </w:p>
        </w:tc>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Access Link / Command</w:t>
            </w:r>
          </w:p>
        </w:tc>
        <w:tc>
          <w:tcPr>
            <w:tcW w:type="dxa" w:w="3120"/>
            <w:shd w:val="clear" w:color="auto" w:fill="F1F5F9"/>
            <w:tcMar>
              <w:top w:w="80" w:type="dxa"/>
              <w:bottom w:w="80" w:type="dxa"/>
              <w:left w:w="100" w:type="dxa"/>
              <w:right w:w="100" w:type="dxa"/>
            </w:tcMar>
            <w:tcBorders>
              <w:top w:val="single" w:sz="6" w:space="0" w:color="000000"/>
              <w:left w:val="single" w:sz="4" w:space="0" w:color="000000"/>
              <w:bottom w:val="single" w:sz="6" w:space="0" w:color="000000"/>
              <w:right w:val="single" w:sz="4" w:space="0" w:color="000000"/>
            </w:tcBorders>
          </w:tcPr>
          <w:p>
            <w:pPr>
              <w:spacing w:after="0"/>
            </w:pPr>
            <w:r>
              <w:rPr>
                <w:rFonts w:ascii="Arial" w:hAnsi="Arial"/>
                <w:b/>
                <w:color w:val="000000"/>
                <w:sz w:val="18"/>
              </w:rPr>
              <w:t>Operational Description</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Live Cloud Web App</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swapnilrathod07.github.io/IBM-bootcamp-project/</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Interactive Web Command Center with client-side simulation (Zero Install)</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GitHub Repository</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github.com/swapnilrathod07/IBM-bootcamp-project</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Full open-source codebase, test suite, and architectural documentation</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Local Web Command Center</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python run.py</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Launches Flask REST API backend server at http://127.0.0.1:5000</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Local Streamlit Dashboard</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python run.py --streamlit</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Launches multi-tab Streamlit forensic investigation dashboard at http://localhost:8501</w:t>
            </w:r>
          </w:p>
        </w:tc>
      </w:tr>
      <w:tr>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b/>
                <w:color w:val="000000"/>
                <w:sz w:val="18"/>
              </w:rPr>
              <w:t>Automated Test Runner</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python run.py --test</w:t>
            </w:r>
          </w:p>
        </w:tc>
        <w:tc>
          <w:tcPr>
            <w:tcW w:type="dxa" w:w="3120"/>
            <w:tcMar>
              <w:top w:w="65" w:type="dxa"/>
              <w:bottom w:w="65" w:type="dxa"/>
              <w:left w:w="100" w:type="dxa"/>
              <w:right w:w="100" w:type="dxa"/>
            </w:tcMar>
            <w:tcBorders>
              <w:top w:val="single" w:sz="2" w:space="0" w:color="CBD5E1"/>
              <w:left w:val="single" w:sz="2" w:space="0" w:color="CBD5E1"/>
              <w:bottom w:val="single" w:sz="2" w:space="0" w:color="CBD5E1"/>
              <w:right w:val="single" w:sz="2" w:space="0" w:color="CBD5E1"/>
            </w:tcBorders>
          </w:tcPr>
          <w:p>
            <w:pPr>
              <w:spacing w:after="0"/>
            </w:pPr>
            <w:r>
              <w:rPr>
                <w:rFonts w:ascii="Arial" w:hAnsi="Arial"/>
                <w:color w:val="000000"/>
                <w:sz w:val="18"/>
              </w:rPr>
              <w:t>Executes full 187-test automated verification suite</w:t>
            </w:r>
          </w:p>
        </w:tc>
      </w:tr>
    </w:tbl>
    <w:p>
      <w:pPr>
        <w:spacing w:after="120"/>
      </w:pPr>
    </w:p>
    <w:p>
      <w:pPr>
        <w:spacing w:before="120" w:after="200"/>
        <w:pBdr>
          <w:bottom w:val="single" w:sz="6" w:space="1" w:color="CCCCCC"/>
        </w:pBdr>
      </w:pPr>
    </w:p>
    <w:p>
      <w:pPr>
        <w:keepNext/>
        <w:spacing w:before="280" w:after="120"/>
      </w:pPr>
      <w:r>
        <w:rPr>
          <w:rFonts w:ascii="Arial" w:hAnsi="Arial"/>
          <w:b/>
          <w:color w:val="000000"/>
          <w:sz w:val="24"/>
        </w:rPr>
        <w:t>SECTION 11: ADVANTAGES &amp; SOC ROI IMPACT</w:t>
      </w:r>
    </w:p>
    <w:p>
      <w:pPr>
        <w:spacing w:before="0" w:after="80" w:line="276" w:lineRule="auto"/>
      </w:pPr>
      <w:r>
        <w:rPr>
          <w:rFonts w:ascii="Arial" w:hAnsi="Arial"/>
          <w:b/>
          <w:color w:val="000000"/>
          <w:sz w:val="20"/>
        </w:rPr>
        <w:t xml:space="preserve">1. 99% Faster Indicator Triage: </w:t>
      </w:r>
      <w:r>
        <w:rPr>
          <w:rFonts w:ascii="Arial" w:hAnsi="Arial"/>
          <w:color w:val="000000"/>
          <w:sz w:val="20"/>
        </w:rPr>
        <w:t>Triage time drops from 15-20 minutes to under one second, eliminating browser pivoting.</w:t>
      </w:r>
    </w:p>
    <w:p>
      <w:pPr>
        <w:spacing w:before="0" w:after="80" w:line="276" w:lineRule="auto"/>
      </w:pPr>
      <w:r>
        <w:rPr>
          <w:rFonts w:ascii="Arial" w:hAnsi="Arial"/>
          <w:b/>
          <w:color w:val="000000"/>
          <w:sz w:val="20"/>
        </w:rPr>
        <w:t xml:space="preserve">2. Zero False Positives on Internal Assets: </w:t>
      </w:r>
      <w:r>
        <w:rPr>
          <w:rFonts w:ascii="Arial" w:hAnsi="Arial"/>
          <w:color w:val="000000"/>
          <w:sz w:val="20"/>
        </w:rPr>
        <w:t>Private internal assets (127.0.0.1, RFC 1918) are safely identified with zero threat score and no external data leakage.</w:t>
      </w:r>
    </w:p>
    <w:p>
      <w:pPr>
        <w:spacing w:before="0" w:after="80" w:line="276" w:lineRule="auto"/>
      </w:pPr>
      <w:r>
        <w:rPr>
          <w:rFonts w:ascii="Arial" w:hAnsi="Arial"/>
          <w:b/>
          <w:color w:val="000000"/>
          <w:sz w:val="20"/>
        </w:rPr>
        <w:t xml:space="preserve">3. Instant Containment Deployment: </w:t>
      </w:r>
      <w:r>
        <w:rPr>
          <w:rFonts w:ascii="Arial" w:hAnsi="Arial"/>
          <w:color w:val="000000"/>
          <w:sz w:val="20"/>
        </w:rPr>
        <w:t>Immediate generation of drop commands for Windows Firewall, Linux iptables, and YARA signatures reduces exposure windows.</w:t>
      </w:r>
    </w:p>
    <w:p>
      <w:pPr>
        <w:spacing w:before="0" w:after="80" w:line="276" w:lineRule="auto"/>
      </w:pPr>
      <w:r>
        <w:rPr>
          <w:rFonts w:ascii="Arial" w:hAnsi="Arial"/>
          <w:b/>
          <w:color w:val="000000"/>
          <w:sz w:val="20"/>
        </w:rPr>
        <w:t xml:space="preserve">4. Zero-Install Cloud Availability: </w:t>
      </w:r>
      <w:r>
        <w:rPr>
          <w:rFonts w:ascii="Arial" w:hAnsi="Arial"/>
          <w:color w:val="000000"/>
          <w:sz w:val="20"/>
        </w:rPr>
        <w:t>Evaluators and analysts can explore the complete SOC command center in any modern browser without downloading dependencies.</w:t>
      </w:r>
    </w:p>
    <w:p>
      <w:pPr>
        <w:spacing w:before="120" w:after="200"/>
        <w:pBdr>
          <w:bottom w:val="single" w:sz="6" w:space="1" w:color="CCCCCC"/>
        </w:pBdr>
      </w:pPr>
    </w:p>
    <w:p>
      <w:pPr>
        <w:keepNext/>
        <w:spacing w:before="280" w:after="120"/>
      </w:pPr>
      <w:r>
        <w:rPr>
          <w:rFonts w:ascii="Arial" w:hAnsi="Arial"/>
          <w:b/>
          <w:color w:val="000000"/>
          <w:sz w:val="24"/>
        </w:rPr>
        <w:t>SECTION 12: CONCLUSION &amp; REFERENCES</w:t>
      </w:r>
    </w:p>
    <w:p>
      <w:pPr>
        <w:spacing w:before="0" w:after="80" w:line="276" w:lineRule="auto"/>
      </w:pPr>
      <w:r>
        <w:rPr>
          <w:rFonts w:ascii="Arial" w:hAnsi="Arial"/>
          <w:color w:val="000000"/>
          <w:sz w:val="20"/>
        </w:rPr>
        <w:t>The CyberPulse project successfully demonstrates the design and development of an enterprise-grade Cyber Threat Intelligence and SOC containment platform. By automating IOC normalization, multi-engine reputation correlation, and containment rule generation, the platform solves critical operational challenges in modern security operations. The system is verified with 187 automated unit tests (100% pass rate) and is production-ready.</w:t>
      </w:r>
    </w:p>
    <w:p>
      <w:pPr>
        <w:spacing w:before="0" w:after="80" w:line="276" w:lineRule="auto"/>
      </w:pPr>
      <w:r>
        <w:rPr>
          <w:rFonts w:ascii="Arial" w:hAnsi="Arial"/>
          <w:color w:val="000000"/>
          <w:sz w:val="20"/>
        </w:rPr>
        <w:t>References:</w:t>
      </w:r>
    </w:p>
    <w:p>
      <w:pPr>
        <w:spacing w:before="0" w:after="80" w:line="276" w:lineRule="auto"/>
      </w:pPr>
      <w:r>
        <w:rPr>
          <w:rFonts w:ascii="Arial" w:hAnsi="Arial"/>
          <w:color w:val="000000"/>
          <w:sz w:val="20"/>
        </w:rPr>
        <w:t>1. NIST SP 800-61 Rev. 2, Computer Security Incident Handling Guide, National Institute of Standards and Technology, 2012.</w:t>
      </w:r>
    </w:p>
    <w:p>
      <w:pPr>
        <w:spacing w:before="0" w:after="80" w:line="276" w:lineRule="auto"/>
      </w:pPr>
      <w:r>
        <w:rPr>
          <w:rFonts w:ascii="Arial" w:hAnsi="Arial"/>
          <w:color w:val="000000"/>
          <w:sz w:val="20"/>
        </w:rPr>
        <w:t>2. MITRE ATT&amp;CK Framework Enterprise Matrix, Version 14, The MITRE Corporation (https://attack.mitre.org/).</w:t>
      </w:r>
    </w:p>
    <w:p>
      <w:pPr>
        <w:spacing w:before="0" w:after="80" w:line="276" w:lineRule="auto"/>
      </w:pPr>
      <w:r>
        <w:rPr>
          <w:rFonts w:ascii="Arial" w:hAnsi="Arial"/>
          <w:color w:val="000000"/>
          <w:sz w:val="20"/>
        </w:rPr>
        <w:t>3. OASIS Standard, STIX Version 2.1: Structured Threat Information Expression, OASIS Open, 2021.</w:t>
      </w:r>
    </w:p>
    <w:p>
      <w:pPr>
        <w:spacing w:before="0" w:after="80" w:line="276" w:lineRule="auto"/>
      </w:pPr>
      <w:r>
        <w:rPr>
          <w:rFonts w:ascii="Arial" w:hAnsi="Arial"/>
          <w:color w:val="000000"/>
          <w:sz w:val="20"/>
        </w:rPr>
        <w:t>4. RFC 1918, Address Allocation for Private Internets, Internet Engineering Task Force (IETF), 1996.</w:t>
      </w:r>
    </w:p>
    <w:p>
      <w:pPr>
        <w:spacing w:before="0" w:after="80" w:line="276" w:lineRule="auto"/>
      </w:pPr>
      <w:r>
        <w:rPr>
          <w:rFonts w:ascii="Arial" w:hAnsi="Arial"/>
          <w:color w:val="000000"/>
          <w:sz w:val="20"/>
        </w:rPr>
        <w:t>5. RFC 5952, A Recommendation for IPv6 Address Text Representation, Internet Engineering Task Force (IETF),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