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 Attrition Analysis Report</w:t>
      </w:r>
    </w:p>
    <w:p>
      <w:pPr>
        <w:jc w:val="center"/>
      </w:pPr>
      <w:r>
        <w:t>Prepared using Python (Pandas, NumPy, Matplotlib, Seaborn, Scikit-learn)</w:t>
      </w:r>
    </w:p>
    <w:p>
      <w:pPr>
        <w:jc w:val="center"/>
      </w:pPr>
      <w:r>
        <w:t>Objective: Identify key drivers of employee attrition and recommend actionable strategies</w:t>
      </w:r>
    </w:p>
    <w:p>
      <w:r>
        <w:br w:type="page"/>
      </w:r>
    </w:p>
    <w:p>
      <w:pPr>
        <w:pStyle w:val="Heading1"/>
      </w:pPr>
      <w:r>
        <w:t>1. Introduction</w:t>
      </w:r>
    </w:p>
    <w:p>
      <w:r>
        <w:t>This report presents a comprehensive analysis of employee attrition using exploratory data analysis (EDA), feature engineering, statistical testing, and machine learning techniques. The goal is to understand patterns of employee turnover and identify key factors influencing attrition.</w:t>
      </w:r>
    </w:p>
    <w:p>
      <w:pPr>
        <w:pStyle w:val="Heading1"/>
      </w:pPr>
      <w:r>
        <w:t>2. Data Understanding &amp; EDA</w:t>
      </w:r>
    </w:p>
    <w:p>
      <w:r>
        <w:t>Initial analysis included distribution analysis, correlation analysis, and categorical breakdowns.</w:t>
      </w:r>
    </w:p>
    <w:p>
      <w:r>
        <w:drawing>
          <wp:inline xmlns:a="http://schemas.openxmlformats.org/drawingml/2006/main" xmlns:pic="http://schemas.openxmlformats.org/drawingml/2006/picture">
            <wp:extent cx="4572000" cy="3643187"/>
            <wp:docPr id="1" name="Picture 1"/>
            <wp:cNvGraphicFramePr>
              <a:graphicFrameLocks noChangeAspect="1"/>
            </wp:cNvGraphicFramePr>
            <a:graphic>
              <a:graphicData uri="http://schemas.openxmlformats.org/drawingml/2006/picture">
                <pic:pic>
                  <pic:nvPicPr>
                    <pic:cNvPr id="0" name="Age_Distribution.png"/>
                    <pic:cNvPicPr/>
                  </pic:nvPicPr>
                  <pic:blipFill>
                    <a:blip r:embed="rId9"/>
                    <a:stretch>
                      <a:fillRect/>
                    </a:stretch>
                  </pic:blipFill>
                  <pic:spPr>
                    <a:xfrm>
                      <a:off x="0" y="0"/>
                      <a:ext cx="4572000" cy="3643187"/>
                    </a:xfrm>
                    <a:prstGeom prst="rect"/>
                  </pic:spPr>
                </pic:pic>
              </a:graphicData>
            </a:graphic>
          </wp:inline>
        </w:drawing>
      </w:r>
    </w:p>
    <w:p>
      <w:r>
        <w:t>Age Distribution</w:t>
      </w:r>
    </w:p>
    <w:p>
      <w:r>
        <w:drawing>
          <wp:inline xmlns:a="http://schemas.openxmlformats.org/drawingml/2006/main" xmlns:pic="http://schemas.openxmlformats.org/drawingml/2006/picture">
            <wp:extent cx="4572000" cy="3586655"/>
            <wp:docPr id="2" name="Picture 2"/>
            <wp:cNvGraphicFramePr>
              <a:graphicFrameLocks noChangeAspect="1"/>
            </wp:cNvGraphicFramePr>
            <a:graphic>
              <a:graphicData uri="http://schemas.openxmlformats.org/drawingml/2006/picture">
                <pic:pic>
                  <pic:nvPicPr>
                    <pic:cNvPr id="0" name="Attrition_Distribution.png"/>
                    <pic:cNvPicPr/>
                  </pic:nvPicPr>
                  <pic:blipFill>
                    <a:blip r:embed="rId10"/>
                    <a:stretch>
                      <a:fillRect/>
                    </a:stretch>
                  </pic:blipFill>
                  <pic:spPr>
                    <a:xfrm>
                      <a:off x="0" y="0"/>
                      <a:ext cx="4572000" cy="3586655"/>
                    </a:xfrm>
                    <a:prstGeom prst="rect"/>
                  </pic:spPr>
                </pic:pic>
              </a:graphicData>
            </a:graphic>
          </wp:inline>
        </w:drawing>
      </w:r>
    </w:p>
    <w:p>
      <w:r>
        <w:t>Attrition Distribution</w:t>
      </w:r>
    </w:p>
    <w:p>
      <w:r>
        <w:drawing>
          <wp:inline xmlns:a="http://schemas.openxmlformats.org/drawingml/2006/main" xmlns:pic="http://schemas.openxmlformats.org/drawingml/2006/picture">
            <wp:extent cx="4572000" cy="4146892"/>
            <wp:docPr id="3" name="Picture 3"/>
            <wp:cNvGraphicFramePr>
              <a:graphicFrameLocks noChangeAspect="1"/>
            </wp:cNvGraphicFramePr>
            <a:graphic>
              <a:graphicData uri="http://schemas.openxmlformats.org/drawingml/2006/picture">
                <pic:pic>
                  <pic:nvPicPr>
                    <pic:cNvPr id="0" name="Correlation_Heatmap_Clear.png"/>
                    <pic:cNvPicPr/>
                  </pic:nvPicPr>
                  <pic:blipFill>
                    <a:blip r:embed="rId11"/>
                    <a:stretch>
                      <a:fillRect/>
                    </a:stretch>
                  </pic:blipFill>
                  <pic:spPr>
                    <a:xfrm>
                      <a:off x="0" y="0"/>
                      <a:ext cx="4572000" cy="4146892"/>
                    </a:xfrm>
                    <a:prstGeom prst="rect"/>
                  </pic:spPr>
                </pic:pic>
              </a:graphicData>
            </a:graphic>
          </wp:inline>
        </w:drawing>
      </w:r>
    </w:p>
    <w:p>
      <w:r>
        <w:t>Correlation Heatmap</w:t>
      </w:r>
    </w:p>
    <w:p>
      <w:r>
        <w:drawing>
          <wp:inline xmlns:a="http://schemas.openxmlformats.org/drawingml/2006/main" xmlns:pic="http://schemas.openxmlformats.org/drawingml/2006/picture">
            <wp:extent cx="4572000" cy="4280525"/>
            <wp:docPr id="4" name="Picture 4"/>
            <wp:cNvGraphicFramePr>
              <a:graphicFrameLocks noChangeAspect="1"/>
            </wp:cNvGraphicFramePr>
            <a:graphic>
              <a:graphicData uri="http://schemas.openxmlformats.org/drawingml/2006/picture">
                <pic:pic>
                  <pic:nvPicPr>
                    <pic:cNvPr id="0" name="Dept_Dist.png"/>
                    <pic:cNvPicPr/>
                  </pic:nvPicPr>
                  <pic:blipFill>
                    <a:blip r:embed="rId12"/>
                    <a:stretch>
                      <a:fillRect/>
                    </a:stretch>
                  </pic:blipFill>
                  <pic:spPr>
                    <a:xfrm>
                      <a:off x="0" y="0"/>
                      <a:ext cx="4572000" cy="4280525"/>
                    </a:xfrm>
                    <a:prstGeom prst="rect"/>
                  </pic:spPr>
                </pic:pic>
              </a:graphicData>
            </a:graphic>
          </wp:inline>
        </w:drawing>
      </w:r>
    </w:p>
    <w:p>
      <w:r>
        <w:t>Department Distribution</w:t>
      </w:r>
    </w:p>
    <w:p>
      <w:r>
        <w:drawing>
          <wp:inline xmlns:a="http://schemas.openxmlformats.org/drawingml/2006/main" xmlns:pic="http://schemas.openxmlformats.org/drawingml/2006/picture">
            <wp:extent cx="4572000" cy="4163643"/>
            <wp:docPr id="5" name="Picture 5"/>
            <wp:cNvGraphicFramePr>
              <a:graphicFrameLocks noChangeAspect="1"/>
            </wp:cNvGraphicFramePr>
            <a:graphic>
              <a:graphicData uri="http://schemas.openxmlformats.org/drawingml/2006/picture">
                <pic:pic>
                  <pic:nvPicPr>
                    <pic:cNvPr id="0" name="Job_Role_Dist.png"/>
                    <pic:cNvPicPr/>
                  </pic:nvPicPr>
                  <pic:blipFill>
                    <a:blip r:embed="rId13"/>
                    <a:stretch>
                      <a:fillRect/>
                    </a:stretch>
                  </pic:blipFill>
                  <pic:spPr>
                    <a:xfrm>
                      <a:off x="0" y="0"/>
                      <a:ext cx="4572000" cy="4163643"/>
                    </a:xfrm>
                    <a:prstGeom prst="rect"/>
                  </pic:spPr>
                </pic:pic>
              </a:graphicData>
            </a:graphic>
          </wp:inline>
        </w:drawing>
      </w:r>
    </w:p>
    <w:p>
      <w:r>
        <w:t>Job Role Distribution</w:t>
      </w:r>
    </w:p>
    <w:p>
      <w:r>
        <w:drawing>
          <wp:inline xmlns:a="http://schemas.openxmlformats.org/drawingml/2006/main" xmlns:pic="http://schemas.openxmlformats.org/drawingml/2006/picture">
            <wp:extent cx="4572000" cy="3643187"/>
            <wp:docPr id="6" name="Picture 6"/>
            <wp:cNvGraphicFramePr>
              <a:graphicFrameLocks noChangeAspect="1"/>
            </wp:cNvGraphicFramePr>
            <a:graphic>
              <a:graphicData uri="http://schemas.openxmlformats.org/drawingml/2006/picture">
                <pic:pic>
                  <pic:nvPicPr>
                    <pic:cNvPr id="0" name="Monthly_Income.png"/>
                    <pic:cNvPicPr/>
                  </pic:nvPicPr>
                  <pic:blipFill>
                    <a:blip r:embed="rId14"/>
                    <a:stretch>
                      <a:fillRect/>
                    </a:stretch>
                  </pic:blipFill>
                  <pic:spPr>
                    <a:xfrm>
                      <a:off x="0" y="0"/>
                      <a:ext cx="4572000" cy="3643187"/>
                    </a:xfrm>
                    <a:prstGeom prst="rect"/>
                  </pic:spPr>
                </pic:pic>
              </a:graphicData>
            </a:graphic>
          </wp:inline>
        </w:drawing>
      </w:r>
    </w:p>
    <w:p>
      <w:r>
        <w:t>Monthly Income Distribution</w:t>
      </w:r>
    </w:p>
    <w:p>
      <w:r>
        <w:drawing>
          <wp:inline xmlns:a="http://schemas.openxmlformats.org/drawingml/2006/main" xmlns:pic="http://schemas.openxmlformats.org/drawingml/2006/picture">
            <wp:extent cx="4572000" cy="3372787"/>
            <wp:docPr id="7" name="Picture 7"/>
            <wp:cNvGraphicFramePr>
              <a:graphicFrameLocks noChangeAspect="1"/>
            </wp:cNvGraphicFramePr>
            <a:graphic>
              <a:graphicData uri="http://schemas.openxmlformats.org/drawingml/2006/picture">
                <pic:pic>
                  <pic:nvPicPr>
                    <pic:cNvPr id="0" name="Overtime_Dist.png"/>
                    <pic:cNvPicPr/>
                  </pic:nvPicPr>
                  <pic:blipFill>
                    <a:blip r:embed="rId15"/>
                    <a:stretch>
                      <a:fillRect/>
                    </a:stretch>
                  </pic:blipFill>
                  <pic:spPr>
                    <a:xfrm>
                      <a:off x="0" y="0"/>
                      <a:ext cx="4572000" cy="3372787"/>
                    </a:xfrm>
                    <a:prstGeom prst="rect"/>
                  </pic:spPr>
                </pic:pic>
              </a:graphicData>
            </a:graphic>
          </wp:inline>
        </w:drawing>
      </w:r>
    </w:p>
    <w:p>
      <w:r>
        <w:t>Overtime Distribution</w:t>
      </w:r>
    </w:p>
    <w:p>
      <w:pPr>
        <w:pStyle w:val="Heading1"/>
      </w:pPr>
      <w:r>
        <w:t>3. Key Findings from EDA</w:t>
      </w:r>
    </w:p>
    <w:p>
      <w:r>
        <w:t>• Attrition rate is approximately 16%.</w:t>
        <w:br/>
        <w:t>• Workforce is concentrated in Research &amp; Development.</w:t>
        <w:br/>
        <w:t>• Majority employees fall in age group 25–40.</w:t>
        <w:br/>
        <w:t>• Income distribution is right-skewed.</w:t>
        <w:br/>
        <w:t>• Overtime and travel frequency impact attrition significantly.</w:t>
      </w:r>
    </w:p>
    <w:p>
      <w:pPr>
        <w:pStyle w:val="Heading1"/>
      </w:pPr>
      <w:r>
        <w:t>4. Statistical Analysis Insights</w:t>
      </w:r>
    </w:p>
    <w:p>
      <w:r>
        <w:t>Chi-square and t-tests indicate that overtime, income, satisfaction, and tenure are statistically significant drivers.</w:t>
        <w:br/>
        <w:t>Effect size analysis shows income and satisfaction have strong influence on attrition.</w:t>
      </w:r>
    </w:p>
    <w:p>
      <w:pPr>
        <w:pStyle w:val="Heading1"/>
      </w:pPr>
      <w:r>
        <w:t>5. Machine Learning Insights</w:t>
      </w:r>
    </w:p>
    <w:p>
      <w:r>
        <w:t>Logistic Regression and Random Forest models identified top drivers:</w:t>
        <w:br/>
        <w:t>• Overtime (strongest)</w:t>
        <w:br/>
        <w:t>• Satisfaction Score</w:t>
        <w:br/>
        <w:t>• Monthly Income</w:t>
        <w:br/>
        <w:t>• Age and Experience</w:t>
      </w:r>
    </w:p>
    <w:p>
      <w:pPr>
        <w:pStyle w:val="Heading1"/>
      </w:pPr>
      <w:r>
        <w:t>6. Business Insights</w:t>
      </w:r>
    </w:p>
    <w:p>
      <w:r>
        <w:t>• Overtime increases attrition risk significantly.</w:t>
        <w:br/>
        <w:t>• Low income employees are most likely to leave.</w:t>
        <w:br/>
        <w:t>• Early tenure employees are high-risk.</w:t>
        <w:br/>
        <w:t>• Attrition is multi-factor driven.</w:t>
      </w:r>
    </w:p>
    <w:p>
      <w:pPr>
        <w:pStyle w:val="Heading1"/>
      </w:pPr>
      <w:r>
        <w:t>7. Recommendations</w:t>
      </w:r>
    </w:p>
    <w:p>
      <w:r>
        <w:t>• Optimize compensation structure.</w:t>
        <w:br/>
        <w:t>• Reduce overtime workload.</w:t>
        <w:br/>
        <w:t>• Improve onboarding experience.</w:t>
        <w:br/>
        <w:t>• Implement predictive risk monitoring.</w:t>
      </w:r>
    </w:p>
    <w:p>
      <w:pPr>
        <w:pStyle w:val="Heading1"/>
      </w:pPr>
      <w:r>
        <w:t>8. Conclusion</w:t>
      </w:r>
    </w:p>
    <w:p>
      <w:r>
        <w:t>Attrition is predictable and can be reduced using targeted interventions. A data-driven HR strategy will significantly improve retention and workforce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