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5A6FE" w14:textId="035AF7DC" w:rsidR="007C4AB6" w:rsidRPr="00290E59" w:rsidRDefault="007C4AB6" w:rsidP="00290E59">
      <w:pPr>
        <w:spacing w:line="360" w:lineRule="auto"/>
        <w:jc w:val="center"/>
        <w:rPr>
          <w:rFonts w:ascii="Garamond" w:hAnsi="Garamond"/>
          <w:b/>
          <w:bCs/>
          <w:sz w:val="30"/>
          <w:szCs w:val="30"/>
          <w:u w:val="single"/>
        </w:rPr>
      </w:pPr>
      <w:r w:rsidRPr="00290E59">
        <w:rPr>
          <w:rFonts w:ascii="Garamond" w:hAnsi="Garamond"/>
          <w:b/>
          <w:bCs/>
          <w:sz w:val="30"/>
          <w:szCs w:val="30"/>
          <w:u w:val="single"/>
        </w:rPr>
        <w:t>PART 1: INTRODUCTION TO ELECTRONIC EVIDENCE</w:t>
      </w:r>
    </w:p>
    <w:p w14:paraId="6CC42288"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4035D4AA">
          <v:rect id="_x0000_i1025" style="width:0;height:1.5pt" o:hralign="center" o:hrstd="t" o:hr="t" fillcolor="#a0a0a0" stroked="f"/>
        </w:pict>
      </w:r>
    </w:p>
    <w:p w14:paraId="3B6DA774"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1.1 Definition of Electronic Evidence</w:t>
      </w:r>
    </w:p>
    <w:p w14:paraId="78BDE447"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 xml:space="preserve">Electronic evidence, also referred to as </w:t>
      </w:r>
      <w:r w:rsidRPr="007C4AB6">
        <w:rPr>
          <w:rFonts w:ascii="Garamond" w:hAnsi="Garamond"/>
          <w:b/>
          <w:bCs/>
          <w:sz w:val="24"/>
          <w:szCs w:val="24"/>
        </w:rPr>
        <w:t>digital evidence</w:t>
      </w:r>
      <w:r w:rsidRPr="007C4AB6">
        <w:rPr>
          <w:rFonts w:ascii="Garamond" w:hAnsi="Garamond"/>
          <w:sz w:val="24"/>
          <w:szCs w:val="24"/>
        </w:rPr>
        <w:t>, is any information stored, transmitted, extracted, or derived using digital means that holds probative value and can be used in legal proceedings. It includes data generated or communicated via electronic devices, networks, or platforms.</w:t>
      </w:r>
    </w:p>
    <w:p w14:paraId="27EB8183"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 xml:space="preserve">As per </w:t>
      </w:r>
      <w:r w:rsidRPr="007C4AB6">
        <w:rPr>
          <w:rFonts w:ascii="Garamond" w:hAnsi="Garamond"/>
          <w:b/>
          <w:bCs/>
          <w:sz w:val="24"/>
          <w:szCs w:val="24"/>
        </w:rPr>
        <w:t>Federal Decree-Law No. 35 of 2022</w:t>
      </w:r>
      <w:r w:rsidRPr="007C4AB6">
        <w:rPr>
          <w:rFonts w:ascii="Garamond" w:hAnsi="Garamond"/>
          <w:sz w:val="24"/>
          <w:szCs w:val="24"/>
        </w:rPr>
        <w:t xml:space="preserve"> (Law of Evidence), electronic evidence encompasses any documentation produced or stored electronically, including emails, e-signatures, electronic records, and other digital correspondence. The law equates the legal weight of electronic documents with traditional paper-based records, provided they meet </w:t>
      </w:r>
      <w:r w:rsidRPr="007C4AB6">
        <w:rPr>
          <w:rFonts w:ascii="Garamond" w:hAnsi="Garamond"/>
          <w:b/>
          <w:bCs/>
          <w:sz w:val="24"/>
          <w:szCs w:val="24"/>
        </w:rPr>
        <w:t>authenticity and integrity</w:t>
      </w:r>
      <w:r w:rsidRPr="007C4AB6">
        <w:rPr>
          <w:rFonts w:ascii="Garamond" w:hAnsi="Garamond"/>
          <w:sz w:val="24"/>
          <w:szCs w:val="24"/>
        </w:rPr>
        <w:t xml:space="preserve"> standards.</w:t>
      </w:r>
    </w:p>
    <w:p w14:paraId="10D4530A" w14:textId="77777777" w:rsidR="007C4AB6" w:rsidRPr="007C4AB6" w:rsidRDefault="007C4AB6" w:rsidP="007C4AB6">
      <w:pPr>
        <w:spacing w:line="360" w:lineRule="auto"/>
        <w:jc w:val="both"/>
        <w:rPr>
          <w:rFonts w:ascii="Garamond" w:hAnsi="Garamond"/>
          <w:i/>
          <w:iCs/>
          <w:sz w:val="24"/>
          <w:szCs w:val="24"/>
        </w:rPr>
      </w:pPr>
      <w:r w:rsidRPr="007C4AB6">
        <w:rPr>
          <w:rFonts w:ascii="Garamond" w:hAnsi="Garamond"/>
          <w:b/>
          <w:bCs/>
          <w:i/>
          <w:iCs/>
          <w:sz w:val="24"/>
          <w:szCs w:val="24"/>
        </w:rPr>
        <w:t>Judicial Interpretation in the UAE:</w:t>
      </w:r>
      <w:r w:rsidRPr="007C4AB6">
        <w:rPr>
          <w:rFonts w:ascii="Garamond" w:hAnsi="Garamond"/>
          <w:i/>
          <w:iCs/>
          <w:sz w:val="24"/>
          <w:szCs w:val="24"/>
        </w:rPr>
        <w:br/>
      </w:r>
      <w:r w:rsidRPr="007C4AB6">
        <w:rPr>
          <w:rFonts w:ascii="Garamond" w:hAnsi="Garamond"/>
          <w:b/>
          <w:bCs/>
          <w:i/>
          <w:iCs/>
          <w:sz w:val="24"/>
          <w:szCs w:val="24"/>
        </w:rPr>
        <w:t>UAE courts interpret electronic evidence broadly. This includes metadata, blockchain records, log files, chat messages, and multimedia files. Courts accept these if their origin, integrity, and reliability can be established (See Article 10 of Federal Decree-Law No. 35 of 2022).</w:t>
      </w:r>
    </w:p>
    <w:p w14:paraId="3C824EF2"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6C2C44CA">
          <v:rect id="_x0000_i1026" style="width:0;height:1.5pt" o:hralign="center" o:hrstd="t" o:hr="t" fillcolor="#a0a0a0" stroked="f"/>
        </w:pict>
      </w:r>
    </w:p>
    <w:p w14:paraId="6E1B691C"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1.2 Importance of Electronic Evidence</w:t>
      </w:r>
    </w:p>
    <w:p w14:paraId="2C9C5727" w14:textId="77777777" w:rsidR="007C4AB6" w:rsidRPr="007C4AB6" w:rsidRDefault="007C4AB6" w:rsidP="007C4AB6">
      <w:pPr>
        <w:numPr>
          <w:ilvl w:val="0"/>
          <w:numId w:val="1"/>
        </w:numPr>
        <w:spacing w:line="360" w:lineRule="auto"/>
        <w:jc w:val="both"/>
        <w:rPr>
          <w:rFonts w:ascii="Garamond" w:hAnsi="Garamond"/>
          <w:sz w:val="24"/>
          <w:szCs w:val="24"/>
        </w:rPr>
      </w:pPr>
      <w:r w:rsidRPr="007C4AB6">
        <w:rPr>
          <w:rFonts w:ascii="Garamond" w:hAnsi="Garamond"/>
          <w:b/>
          <w:bCs/>
          <w:sz w:val="24"/>
          <w:szCs w:val="24"/>
        </w:rPr>
        <w:t>Key Role in Cyber and Financial Crimes</w:t>
      </w:r>
      <w:r w:rsidRPr="007C4AB6">
        <w:rPr>
          <w:rFonts w:ascii="Garamond" w:hAnsi="Garamond"/>
          <w:sz w:val="24"/>
          <w:szCs w:val="24"/>
        </w:rPr>
        <w:t>:</w:t>
      </w:r>
      <w:r w:rsidRPr="007C4AB6">
        <w:rPr>
          <w:rFonts w:ascii="Garamond" w:hAnsi="Garamond"/>
          <w:sz w:val="24"/>
          <w:szCs w:val="24"/>
        </w:rPr>
        <w:br/>
        <w:t xml:space="preserve">In cases like </w:t>
      </w:r>
      <w:r w:rsidRPr="007C4AB6">
        <w:rPr>
          <w:rFonts w:ascii="Garamond" w:hAnsi="Garamond"/>
          <w:b/>
          <w:bCs/>
          <w:sz w:val="24"/>
          <w:szCs w:val="24"/>
        </w:rPr>
        <w:t>hacking</w:t>
      </w:r>
      <w:r w:rsidRPr="007C4AB6">
        <w:rPr>
          <w:rFonts w:ascii="Garamond" w:hAnsi="Garamond"/>
          <w:sz w:val="24"/>
          <w:szCs w:val="24"/>
        </w:rPr>
        <w:t xml:space="preserve">, </w:t>
      </w:r>
      <w:r w:rsidRPr="007C4AB6">
        <w:rPr>
          <w:rFonts w:ascii="Garamond" w:hAnsi="Garamond"/>
          <w:b/>
          <w:bCs/>
          <w:sz w:val="24"/>
          <w:szCs w:val="24"/>
        </w:rPr>
        <w:t>phishing</w:t>
      </w:r>
      <w:r w:rsidRPr="007C4AB6">
        <w:rPr>
          <w:rFonts w:ascii="Garamond" w:hAnsi="Garamond"/>
          <w:sz w:val="24"/>
          <w:szCs w:val="24"/>
        </w:rPr>
        <w:t xml:space="preserve">, </w:t>
      </w:r>
      <w:r w:rsidRPr="007C4AB6">
        <w:rPr>
          <w:rFonts w:ascii="Garamond" w:hAnsi="Garamond"/>
          <w:b/>
          <w:bCs/>
          <w:sz w:val="24"/>
          <w:szCs w:val="24"/>
        </w:rPr>
        <w:t>data theft</w:t>
      </w:r>
      <w:r w:rsidRPr="007C4AB6">
        <w:rPr>
          <w:rFonts w:ascii="Garamond" w:hAnsi="Garamond"/>
          <w:sz w:val="24"/>
          <w:szCs w:val="24"/>
        </w:rPr>
        <w:t xml:space="preserve">, </w:t>
      </w:r>
      <w:r w:rsidRPr="007C4AB6">
        <w:rPr>
          <w:rFonts w:ascii="Garamond" w:hAnsi="Garamond"/>
          <w:b/>
          <w:bCs/>
          <w:sz w:val="24"/>
          <w:szCs w:val="24"/>
        </w:rPr>
        <w:t>money laundering</w:t>
      </w:r>
      <w:r w:rsidRPr="007C4AB6">
        <w:rPr>
          <w:rFonts w:ascii="Garamond" w:hAnsi="Garamond"/>
          <w:sz w:val="24"/>
          <w:szCs w:val="24"/>
        </w:rPr>
        <w:t xml:space="preserve">, and </w:t>
      </w:r>
      <w:r w:rsidRPr="007C4AB6">
        <w:rPr>
          <w:rFonts w:ascii="Garamond" w:hAnsi="Garamond"/>
          <w:b/>
          <w:bCs/>
          <w:sz w:val="24"/>
          <w:szCs w:val="24"/>
        </w:rPr>
        <w:t>embezzlement</w:t>
      </w:r>
      <w:r w:rsidRPr="007C4AB6">
        <w:rPr>
          <w:rFonts w:ascii="Garamond" w:hAnsi="Garamond"/>
          <w:sz w:val="24"/>
          <w:szCs w:val="24"/>
        </w:rPr>
        <w:t xml:space="preserve">, electronic evidence is often the </w:t>
      </w:r>
      <w:r w:rsidRPr="007C4AB6">
        <w:rPr>
          <w:rFonts w:ascii="Garamond" w:hAnsi="Garamond"/>
          <w:b/>
          <w:bCs/>
          <w:sz w:val="24"/>
          <w:szCs w:val="24"/>
        </w:rPr>
        <w:t>only or primary form of evidence</w:t>
      </w:r>
      <w:r w:rsidRPr="007C4AB6">
        <w:rPr>
          <w:rFonts w:ascii="Garamond" w:hAnsi="Garamond"/>
          <w:sz w:val="24"/>
          <w:szCs w:val="24"/>
        </w:rPr>
        <w:t>.</w:t>
      </w:r>
    </w:p>
    <w:p w14:paraId="04C82FF0" w14:textId="77777777" w:rsidR="007C4AB6" w:rsidRPr="007C4AB6" w:rsidRDefault="007C4AB6" w:rsidP="007C4AB6">
      <w:pPr>
        <w:numPr>
          <w:ilvl w:val="0"/>
          <w:numId w:val="1"/>
        </w:numPr>
        <w:spacing w:line="360" w:lineRule="auto"/>
        <w:jc w:val="both"/>
        <w:rPr>
          <w:rFonts w:ascii="Garamond" w:hAnsi="Garamond"/>
          <w:sz w:val="24"/>
          <w:szCs w:val="24"/>
        </w:rPr>
      </w:pPr>
      <w:r w:rsidRPr="007C4AB6">
        <w:rPr>
          <w:rFonts w:ascii="Garamond" w:hAnsi="Garamond"/>
          <w:b/>
          <w:bCs/>
          <w:sz w:val="24"/>
          <w:szCs w:val="24"/>
        </w:rPr>
        <w:t>Traceability and Reconstruction</w:t>
      </w:r>
      <w:r w:rsidRPr="007C4AB6">
        <w:rPr>
          <w:rFonts w:ascii="Garamond" w:hAnsi="Garamond"/>
          <w:sz w:val="24"/>
          <w:szCs w:val="24"/>
        </w:rPr>
        <w:t>:</w:t>
      </w:r>
      <w:r w:rsidRPr="007C4AB6">
        <w:rPr>
          <w:rFonts w:ascii="Garamond" w:hAnsi="Garamond"/>
          <w:sz w:val="24"/>
          <w:szCs w:val="24"/>
        </w:rPr>
        <w:br/>
        <w:t xml:space="preserve">Digital footprints (logs, timestamps, metadata) allow investigators to </w:t>
      </w:r>
      <w:r w:rsidRPr="007C4AB6">
        <w:rPr>
          <w:rFonts w:ascii="Garamond" w:hAnsi="Garamond"/>
          <w:b/>
          <w:bCs/>
          <w:sz w:val="24"/>
          <w:szCs w:val="24"/>
        </w:rPr>
        <w:t>reconstruct events</w:t>
      </w:r>
      <w:r w:rsidRPr="007C4AB6">
        <w:rPr>
          <w:rFonts w:ascii="Garamond" w:hAnsi="Garamond"/>
          <w:sz w:val="24"/>
          <w:szCs w:val="24"/>
        </w:rPr>
        <w:t xml:space="preserve">, establish timelines, and </w:t>
      </w:r>
      <w:r w:rsidRPr="007C4AB6">
        <w:rPr>
          <w:rFonts w:ascii="Garamond" w:hAnsi="Garamond"/>
          <w:b/>
          <w:bCs/>
          <w:sz w:val="24"/>
          <w:szCs w:val="24"/>
        </w:rPr>
        <w:t>identify perpetrators</w:t>
      </w:r>
      <w:r w:rsidRPr="007C4AB6">
        <w:rPr>
          <w:rFonts w:ascii="Garamond" w:hAnsi="Garamond"/>
          <w:sz w:val="24"/>
          <w:szCs w:val="24"/>
        </w:rPr>
        <w:t>.</w:t>
      </w:r>
    </w:p>
    <w:p w14:paraId="6BB3DF40" w14:textId="56057A28" w:rsidR="004B1D6C" w:rsidRPr="00C46AB3" w:rsidRDefault="007C4AB6" w:rsidP="00C46AB3">
      <w:pPr>
        <w:numPr>
          <w:ilvl w:val="0"/>
          <w:numId w:val="1"/>
        </w:numPr>
        <w:spacing w:line="360" w:lineRule="auto"/>
        <w:jc w:val="both"/>
        <w:rPr>
          <w:rFonts w:ascii="Garamond" w:hAnsi="Garamond"/>
          <w:sz w:val="24"/>
          <w:szCs w:val="24"/>
        </w:rPr>
        <w:sectPr w:rsidR="004B1D6C" w:rsidRPr="00C46AB3" w:rsidSect="0049273E">
          <w:footerReference w:type="firs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7C4AB6">
        <w:rPr>
          <w:rFonts w:ascii="Garamond" w:hAnsi="Garamond"/>
          <w:b/>
          <w:bCs/>
          <w:sz w:val="24"/>
          <w:szCs w:val="24"/>
        </w:rPr>
        <w:t>Application Across Case Types</w:t>
      </w:r>
      <w:r w:rsidRPr="007C4AB6">
        <w:rPr>
          <w:rFonts w:ascii="Garamond" w:hAnsi="Garamond"/>
          <w:sz w:val="24"/>
          <w:szCs w:val="24"/>
        </w:rPr>
        <w:t>:</w:t>
      </w:r>
      <w:r w:rsidRPr="007C4AB6">
        <w:rPr>
          <w:rFonts w:ascii="Garamond" w:hAnsi="Garamond"/>
          <w:sz w:val="24"/>
          <w:szCs w:val="24"/>
        </w:rPr>
        <w:br/>
        <w:t>Electronic evidence is relevant in a wide array of investigations—</w:t>
      </w:r>
      <w:r w:rsidRPr="007C4AB6">
        <w:rPr>
          <w:rFonts w:ascii="Garamond" w:hAnsi="Garamond"/>
          <w:b/>
          <w:bCs/>
          <w:sz w:val="24"/>
          <w:szCs w:val="24"/>
        </w:rPr>
        <w:t>online harassment</w:t>
      </w:r>
      <w:r w:rsidRPr="007C4AB6">
        <w:rPr>
          <w:rFonts w:ascii="Garamond" w:hAnsi="Garamond"/>
          <w:sz w:val="24"/>
          <w:szCs w:val="24"/>
        </w:rPr>
        <w:t xml:space="preserve">, </w:t>
      </w:r>
      <w:r w:rsidRPr="007C4AB6">
        <w:rPr>
          <w:rFonts w:ascii="Garamond" w:hAnsi="Garamond"/>
          <w:b/>
          <w:bCs/>
          <w:sz w:val="24"/>
          <w:szCs w:val="24"/>
        </w:rPr>
        <w:t>IP infringement</w:t>
      </w:r>
      <w:r w:rsidRPr="007C4AB6">
        <w:rPr>
          <w:rFonts w:ascii="Garamond" w:hAnsi="Garamond"/>
          <w:sz w:val="24"/>
          <w:szCs w:val="24"/>
        </w:rPr>
        <w:t xml:space="preserve">, </w:t>
      </w:r>
      <w:r w:rsidRPr="007C4AB6">
        <w:rPr>
          <w:rFonts w:ascii="Garamond" w:hAnsi="Garamond"/>
          <w:b/>
          <w:bCs/>
          <w:sz w:val="24"/>
          <w:szCs w:val="24"/>
        </w:rPr>
        <w:t>terrorism</w:t>
      </w:r>
      <w:r w:rsidRPr="007C4AB6">
        <w:rPr>
          <w:rFonts w:ascii="Garamond" w:hAnsi="Garamond"/>
          <w:sz w:val="24"/>
          <w:szCs w:val="24"/>
        </w:rPr>
        <w:t xml:space="preserve">, </w:t>
      </w:r>
      <w:r w:rsidRPr="007C4AB6">
        <w:rPr>
          <w:rFonts w:ascii="Garamond" w:hAnsi="Garamond"/>
          <w:b/>
          <w:bCs/>
          <w:sz w:val="24"/>
          <w:szCs w:val="24"/>
        </w:rPr>
        <w:t>defamation</w:t>
      </w:r>
      <w:r w:rsidRPr="007C4AB6">
        <w:rPr>
          <w:rFonts w:ascii="Garamond" w:hAnsi="Garamond"/>
          <w:sz w:val="24"/>
          <w:szCs w:val="24"/>
        </w:rPr>
        <w:t xml:space="preserve">, and </w:t>
      </w:r>
      <w:r w:rsidRPr="007C4AB6">
        <w:rPr>
          <w:rFonts w:ascii="Garamond" w:hAnsi="Garamond"/>
          <w:b/>
          <w:bCs/>
          <w:sz w:val="24"/>
          <w:szCs w:val="24"/>
        </w:rPr>
        <w:t>electronic forgery</w:t>
      </w:r>
      <w:r w:rsidRPr="007C4AB6">
        <w:rPr>
          <w:rFonts w:ascii="Garamond" w:hAnsi="Garamond"/>
          <w:sz w:val="24"/>
          <w:szCs w:val="24"/>
        </w:rPr>
        <w:t>.</w:t>
      </w:r>
      <w:r w:rsidR="00C46AB3">
        <w:rPr>
          <w:rFonts w:ascii="Garamond" w:hAnsi="Garamond"/>
          <w:sz w:val="24"/>
          <w:szCs w:val="24"/>
        </w:rPr>
        <w:t xml:space="preserve"> </w:t>
      </w:r>
    </w:p>
    <w:p w14:paraId="13BC5E74" w14:textId="77777777" w:rsidR="003664DC" w:rsidRPr="007C4AB6" w:rsidRDefault="003664DC" w:rsidP="004B1D6C">
      <w:pPr>
        <w:spacing w:line="360" w:lineRule="auto"/>
        <w:jc w:val="both"/>
        <w:rPr>
          <w:rFonts w:ascii="Garamond" w:hAnsi="Garamond"/>
          <w:sz w:val="24"/>
          <w:szCs w:val="24"/>
        </w:rPr>
      </w:pPr>
    </w:p>
    <w:p w14:paraId="53B8FFDE" w14:textId="77777777" w:rsidR="007C4AB6" w:rsidRPr="007C4AB6" w:rsidRDefault="007C4AB6" w:rsidP="007C4AB6">
      <w:pPr>
        <w:numPr>
          <w:ilvl w:val="0"/>
          <w:numId w:val="1"/>
        </w:numPr>
        <w:spacing w:line="360" w:lineRule="auto"/>
        <w:jc w:val="both"/>
        <w:rPr>
          <w:rFonts w:ascii="Garamond" w:hAnsi="Garamond"/>
          <w:sz w:val="24"/>
          <w:szCs w:val="24"/>
        </w:rPr>
      </w:pPr>
      <w:r w:rsidRPr="007C4AB6">
        <w:rPr>
          <w:rFonts w:ascii="Garamond" w:hAnsi="Garamond"/>
          <w:b/>
          <w:bCs/>
          <w:sz w:val="24"/>
          <w:szCs w:val="24"/>
        </w:rPr>
        <w:t>Judicial Confidence</w:t>
      </w:r>
      <w:r w:rsidRPr="007C4AB6">
        <w:rPr>
          <w:rFonts w:ascii="Garamond" w:hAnsi="Garamond"/>
          <w:sz w:val="24"/>
          <w:szCs w:val="24"/>
        </w:rPr>
        <w:t>:</w:t>
      </w:r>
      <w:r w:rsidRPr="007C4AB6">
        <w:rPr>
          <w:rFonts w:ascii="Garamond" w:hAnsi="Garamond"/>
          <w:sz w:val="24"/>
          <w:szCs w:val="24"/>
        </w:rPr>
        <w:br/>
        <w:t xml:space="preserve">UAE courts have </w:t>
      </w:r>
      <w:r w:rsidRPr="007C4AB6">
        <w:rPr>
          <w:rFonts w:ascii="Garamond" w:hAnsi="Garamond"/>
          <w:b/>
          <w:bCs/>
          <w:sz w:val="24"/>
          <w:szCs w:val="24"/>
        </w:rPr>
        <w:t>increasing confidence</w:t>
      </w:r>
      <w:r w:rsidRPr="007C4AB6">
        <w:rPr>
          <w:rFonts w:ascii="Garamond" w:hAnsi="Garamond"/>
          <w:sz w:val="24"/>
          <w:szCs w:val="24"/>
        </w:rPr>
        <w:t xml:space="preserve"> in digital evidence due to statutory clarity and the technical capabilities of forensic experts.</w:t>
      </w:r>
    </w:p>
    <w:p w14:paraId="7B3CBDF6"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7957DAB6">
          <v:rect id="_x0000_i1027" style="width:0;height:1.5pt" o:hralign="center" o:hrstd="t" o:hr="t" fillcolor="#a0a0a0" stroked="f"/>
        </w:pict>
      </w:r>
    </w:p>
    <w:p w14:paraId="64509029"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1.3 Types of Electronic Evidence</w:t>
      </w:r>
    </w:p>
    <w:p w14:paraId="01B7503C"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Although not always categorised statutorily, electronic evidence can be grouped as:</w:t>
      </w:r>
    </w:p>
    <w:p w14:paraId="708DD161"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A. Volatile Data</w:t>
      </w:r>
    </w:p>
    <w:p w14:paraId="0BA6704D" w14:textId="77777777" w:rsidR="007C4AB6" w:rsidRPr="007C4AB6" w:rsidRDefault="007C4AB6" w:rsidP="007C4AB6">
      <w:pPr>
        <w:numPr>
          <w:ilvl w:val="0"/>
          <w:numId w:val="2"/>
        </w:numPr>
        <w:spacing w:line="360" w:lineRule="auto"/>
        <w:jc w:val="both"/>
        <w:rPr>
          <w:rFonts w:ascii="Garamond" w:hAnsi="Garamond"/>
          <w:sz w:val="24"/>
          <w:szCs w:val="24"/>
        </w:rPr>
      </w:pPr>
      <w:r w:rsidRPr="007C4AB6">
        <w:rPr>
          <w:rFonts w:ascii="Garamond" w:hAnsi="Garamond"/>
          <w:sz w:val="24"/>
          <w:szCs w:val="24"/>
        </w:rPr>
        <w:t xml:space="preserve">Data that </w:t>
      </w:r>
      <w:r w:rsidRPr="007C4AB6">
        <w:rPr>
          <w:rFonts w:ascii="Garamond" w:hAnsi="Garamond"/>
          <w:b/>
          <w:bCs/>
          <w:sz w:val="24"/>
          <w:szCs w:val="24"/>
        </w:rPr>
        <w:t>disappears when power is turned off</w:t>
      </w:r>
      <w:r w:rsidRPr="007C4AB6">
        <w:rPr>
          <w:rFonts w:ascii="Garamond" w:hAnsi="Garamond"/>
          <w:sz w:val="24"/>
          <w:szCs w:val="24"/>
        </w:rPr>
        <w:t>.</w:t>
      </w:r>
    </w:p>
    <w:p w14:paraId="0B2F0055" w14:textId="77777777" w:rsidR="007C4AB6" w:rsidRPr="007C4AB6" w:rsidRDefault="007C4AB6" w:rsidP="007C4AB6">
      <w:pPr>
        <w:numPr>
          <w:ilvl w:val="0"/>
          <w:numId w:val="2"/>
        </w:numPr>
        <w:spacing w:line="360" w:lineRule="auto"/>
        <w:jc w:val="both"/>
        <w:rPr>
          <w:rFonts w:ascii="Garamond" w:hAnsi="Garamond"/>
          <w:sz w:val="24"/>
          <w:szCs w:val="24"/>
        </w:rPr>
      </w:pPr>
      <w:r w:rsidRPr="007C4AB6">
        <w:rPr>
          <w:rFonts w:ascii="Garamond" w:hAnsi="Garamond"/>
          <w:sz w:val="24"/>
          <w:szCs w:val="24"/>
        </w:rPr>
        <w:t>Examples: RAM content, active processes, temporary files.</w:t>
      </w:r>
    </w:p>
    <w:p w14:paraId="252C85DC"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B. Non-Volatile Data</w:t>
      </w:r>
    </w:p>
    <w:p w14:paraId="38181F9D" w14:textId="77777777" w:rsidR="007C4AB6" w:rsidRPr="007C4AB6" w:rsidRDefault="007C4AB6" w:rsidP="007C4AB6">
      <w:pPr>
        <w:numPr>
          <w:ilvl w:val="0"/>
          <w:numId w:val="3"/>
        </w:numPr>
        <w:spacing w:line="360" w:lineRule="auto"/>
        <w:jc w:val="both"/>
        <w:rPr>
          <w:rFonts w:ascii="Garamond" w:hAnsi="Garamond"/>
          <w:sz w:val="24"/>
          <w:szCs w:val="24"/>
        </w:rPr>
      </w:pPr>
      <w:r w:rsidRPr="007C4AB6">
        <w:rPr>
          <w:rFonts w:ascii="Garamond" w:hAnsi="Garamond"/>
          <w:sz w:val="24"/>
          <w:szCs w:val="24"/>
        </w:rPr>
        <w:t xml:space="preserve">Data that remains </w:t>
      </w:r>
      <w:r w:rsidRPr="007C4AB6">
        <w:rPr>
          <w:rFonts w:ascii="Garamond" w:hAnsi="Garamond"/>
          <w:b/>
          <w:bCs/>
          <w:sz w:val="24"/>
          <w:szCs w:val="24"/>
        </w:rPr>
        <w:t>stored</w:t>
      </w:r>
      <w:r w:rsidRPr="007C4AB6">
        <w:rPr>
          <w:rFonts w:ascii="Garamond" w:hAnsi="Garamond"/>
          <w:sz w:val="24"/>
          <w:szCs w:val="24"/>
        </w:rPr>
        <w:t xml:space="preserve"> until deliberately deleted.</w:t>
      </w:r>
    </w:p>
    <w:p w14:paraId="1081A9F2" w14:textId="77777777" w:rsidR="007C4AB6" w:rsidRPr="007C4AB6" w:rsidRDefault="007C4AB6" w:rsidP="007C4AB6">
      <w:pPr>
        <w:numPr>
          <w:ilvl w:val="0"/>
          <w:numId w:val="3"/>
        </w:numPr>
        <w:spacing w:line="360" w:lineRule="auto"/>
        <w:jc w:val="both"/>
        <w:rPr>
          <w:rFonts w:ascii="Garamond" w:hAnsi="Garamond"/>
          <w:sz w:val="24"/>
          <w:szCs w:val="24"/>
        </w:rPr>
      </w:pPr>
      <w:r w:rsidRPr="007C4AB6">
        <w:rPr>
          <w:rFonts w:ascii="Garamond" w:hAnsi="Garamond"/>
          <w:sz w:val="24"/>
          <w:szCs w:val="24"/>
        </w:rPr>
        <w:t>Examples: Emails, stored documents, databases, logs, social media data.</w:t>
      </w:r>
    </w:p>
    <w:p w14:paraId="59616F92" w14:textId="77777777" w:rsidR="007C4AB6" w:rsidRPr="007C4AB6" w:rsidRDefault="007C4AB6" w:rsidP="007C4AB6">
      <w:pPr>
        <w:spacing w:line="360" w:lineRule="auto"/>
        <w:jc w:val="both"/>
        <w:rPr>
          <w:rFonts w:ascii="Garamond" w:hAnsi="Garamond"/>
          <w:sz w:val="24"/>
          <w:szCs w:val="24"/>
        </w:rPr>
      </w:pPr>
      <w:r w:rsidRPr="007C4AB6">
        <w:rPr>
          <w:rFonts w:ascii="Garamond" w:hAnsi="Garamond"/>
          <w:b/>
          <w:bCs/>
          <w:sz w:val="24"/>
          <w:szCs w:val="24"/>
        </w:rPr>
        <w:t>Note</w:t>
      </w:r>
      <w:r w:rsidRPr="007C4AB6">
        <w:rPr>
          <w:rFonts w:ascii="Garamond" w:hAnsi="Garamond"/>
          <w:sz w:val="24"/>
          <w:szCs w:val="24"/>
        </w:rPr>
        <w:t>: Federal Decree-Law No. 35 of 2022 mentions evidence in forms such as:</w:t>
      </w:r>
    </w:p>
    <w:p w14:paraId="0A0218E5" w14:textId="77777777" w:rsidR="007C4AB6" w:rsidRPr="007C4AB6" w:rsidRDefault="007C4AB6" w:rsidP="007C4AB6">
      <w:pPr>
        <w:numPr>
          <w:ilvl w:val="0"/>
          <w:numId w:val="4"/>
        </w:numPr>
        <w:spacing w:line="360" w:lineRule="auto"/>
        <w:jc w:val="both"/>
        <w:rPr>
          <w:rFonts w:ascii="Garamond" w:hAnsi="Garamond"/>
          <w:sz w:val="24"/>
          <w:szCs w:val="24"/>
        </w:rPr>
      </w:pPr>
      <w:r w:rsidRPr="007C4AB6">
        <w:rPr>
          <w:rFonts w:ascii="Garamond" w:hAnsi="Garamond"/>
          <w:sz w:val="24"/>
          <w:szCs w:val="24"/>
        </w:rPr>
        <w:t>Electronic records</w:t>
      </w:r>
    </w:p>
    <w:p w14:paraId="0D81CF67" w14:textId="77777777" w:rsidR="007C4AB6" w:rsidRPr="007C4AB6" w:rsidRDefault="007C4AB6" w:rsidP="007C4AB6">
      <w:pPr>
        <w:numPr>
          <w:ilvl w:val="0"/>
          <w:numId w:val="4"/>
        </w:numPr>
        <w:spacing w:line="360" w:lineRule="auto"/>
        <w:jc w:val="both"/>
        <w:rPr>
          <w:rFonts w:ascii="Garamond" w:hAnsi="Garamond"/>
          <w:sz w:val="24"/>
          <w:szCs w:val="24"/>
        </w:rPr>
      </w:pPr>
      <w:r w:rsidRPr="007C4AB6">
        <w:rPr>
          <w:rFonts w:ascii="Garamond" w:hAnsi="Garamond"/>
          <w:sz w:val="24"/>
          <w:szCs w:val="24"/>
        </w:rPr>
        <w:t>E-signatures and seals</w:t>
      </w:r>
    </w:p>
    <w:p w14:paraId="47FE5D76" w14:textId="77777777" w:rsidR="007C4AB6" w:rsidRPr="007C4AB6" w:rsidRDefault="007C4AB6" w:rsidP="007C4AB6">
      <w:pPr>
        <w:numPr>
          <w:ilvl w:val="0"/>
          <w:numId w:val="4"/>
        </w:numPr>
        <w:spacing w:line="360" w:lineRule="auto"/>
        <w:jc w:val="both"/>
        <w:rPr>
          <w:rFonts w:ascii="Garamond" w:hAnsi="Garamond"/>
          <w:sz w:val="24"/>
          <w:szCs w:val="24"/>
        </w:rPr>
      </w:pPr>
      <w:r w:rsidRPr="007C4AB6">
        <w:rPr>
          <w:rFonts w:ascii="Garamond" w:hAnsi="Garamond"/>
          <w:sz w:val="24"/>
          <w:szCs w:val="24"/>
        </w:rPr>
        <w:t>Emails and messaging app content</w:t>
      </w:r>
    </w:p>
    <w:p w14:paraId="045456CE" w14:textId="77777777" w:rsidR="007C4AB6" w:rsidRPr="007C4AB6" w:rsidRDefault="007C4AB6" w:rsidP="007C4AB6">
      <w:pPr>
        <w:numPr>
          <w:ilvl w:val="0"/>
          <w:numId w:val="4"/>
        </w:numPr>
        <w:spacing w:line="360" w:lineRule="auto"/>
        <w:jc w:val="both"/>
        <w:rPr>
          <w:rFonts w:ascii="Garamond" w:hAnsi="Garamond"/>
          <w:sz w:val="24"/>
          <w:szCs w:val="24"/>
        </w:rPr>
      </w:pPr>
      <w:r w:rsidRPr="007C4AB6">
        <w:rPr>
          <w:rFonts w:ascii="Garamond" w:hAnsi="Garamond"/>
          <w:sz w:val="24"/>
          <w:szCs w:val="24"/>
        </w:rPr>
        <w:t>Blockchain entries</w:t>
      </w:r>
    </w:p>
    <w:p w14:paraId="3292D5A2" w14:textId="77777777" w:rsidR="007C4AB6" w:rsidRPr="007C4AB6" w:rsidRDefault="007C4AB6" w:rsidP="007C4AB6">
      <w:pPr>
        <w:numPr>
          <w:ilvl w:val="0"/>
          <w:numId w:val="4"/>
        </w:numPr>
        <w:spacing w:line="360" w:lineRule="auto"/>
        <w:jc w:val="both"/>
        <w:rPr>
          <w:rFonts w:ascii="Garamond" w:hAnsi="Garamond"/>
          <w:sz w:val="24"/>
          <w:szCs w:val="24"/>
        </w:rPr>
      </w:pPr>
      <w:r w:rsidRPr="007C4AB6">
        <w:rPr>
          <w:rFonts w:ascii="Garamond" w:hAnsi="Garamond"/>
          <w:sz w:val="24"/>
          <w:szCs w:val="24"/>
        </w:rPr>
        <w:t>Modern means of communication</w:t>
      </w:r>
    </w:p>
    <w:p w14:paraId="461A758D"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3A6E7686">
          <v:rect id="_x0000_i1028" style="width:0;height:1.5pt" o:hralign="center" o:hrstd="t" o:hr="t" fillcolor="#a0a0a0" stroked="f"/>
        </w:pict>
      </w:r>
    </w:p>
    <w:p w14:paraId="001C89ED"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1.4 Sources of Electronic Evidence</w:t>
      </w:r>
    </w:p>
    <w:p w14:paraId="61E40B8F"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 xml:space="preserve">Digital evidence may be obtained from a wide range of </w:t>
      </w:r>
      <w:r w:rsidRPr="007C4AB6">
        <w:rPr>
          <w:rFonts w:ascii="Garamond" w:hAnsi="Garamond"/>
          <w:b/>
          <w:bCs/>
          <w:sz w:val="24"/>
          <w:szCs w:val="24"/>
        </w:rPr>
        <w:t>device-based</w:t>
      </w:r>
      <w:r w:rsidRPr="007C4AB6">
        <w:rPr>
          <w:rFonts w:ascii="Garamond" w:hAnsi="Garamond"/>
          <w:sz w:val="24"/>
          <w:szCs w:val="24"/>
        </w:rPr>
        <w:t xml:space="preserve"> and </w:t>
      </w:r>
      <w:r w:rsidRPr="007C4AB6">
        <w:rPr>
          <w:rFonts w:ascii="Garamond" w:hAnsi="Garamond"/>
          <w:b/>
          <w:bCs/>
          <w:sz w:val="24"/>
          <w:szCs w:val="24"/>
        </w:rPr>
        <w:t>cloud/online</w:t>
      </w:r>
      <w:r w:rsidRPr="007C4AB6">
        <w:rPr>
          <w:rFonts w:ascii="Garamond" w:hAnsi="Garamond"/>
          <w:sz w:val="24"/>
          <w:szCs w:val="24"/>
        </w:rPr>
        <w:t xml:space="preserve"> sources:</w:t>
      </w:r>
    </w:p>
    <w:p w14:paraId="049C4B37"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A. Device-Based Sources</w:t>
      </w:r>
    </w:p>
    <w:p w14:paraId="3C6735D6" w14:textId="41961017" w:rsidR="000962CC" w:rsidRPr="000962CC" w:rsidRDefault="007C4AB6" w:rsidP="000962CC">
      <w:pPr>
        <w:numPr>
          <w:ilvl w:val="0"/>
          <w:numId w:val="5"/>
        </w:numPr>
        <w:spacing w:line="360" w:lineRule="auto"/>
        <w:jc w:val="both"/>
        <w:rPr>
          <w:rFonts w:ascii="Garamond" w:hAnsi="Garamond"/>
          <w:sz w:val="24"/>
          <w:szCs w:val="24"/>
        </w:rPr>
      </w:pPr>
      <w:r w:rsidRPr="007C4AB6">
        <w:rPr>
          <w:rFonts w:ascii="Garamond" w:hAnsi="Garamond"/>
          <w:sz w:val="24"/>
          <w:szCs w:val="24"/>
        </w:rPr>
        <w:t>Computers, laptops</w:t>
      </w:r>
    </w:p>
    <w:p w14:paraId="67319499" w14:textId="741E983B" w:rsidR="009D2FEF" w:rsidRDefault="007C4AB6" w:rsidP="007C4AB6">
      <w:pPr>
        <w:numPr>
          <w:ilvl w:val="0"/>
          <w:numId w:val="5"/>
        </w:numPr>
        <w:spacing w:line="360" w:lineRule="auto"/>
        <w:jc w:val="both"/>
        <w:rPr>
          <w:rFonts w:ascii="Garamond" w:hAnsi="Garamond"/>
          <w:sz w:val="24"/>
          <w:szCs w:val="24"/>
        </w:rPr>
        <w:sectPr w:rsidR="009D2FEF" w:rsidSect="0049273E">
          <w:footerReference w:type="firs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7C4AB6">
        <w:rPr>
          <w:rFonts w:ascii="Garamond" w:hAnsi="Garamond"/>
          <w:sz w:val="24"/>
          <w:szCs w:val="24"/>
        </w:rPr>
        <w:t>Mobile phones, tablet</w:t>
      </w:r>
    </w:p>
    <w:p w14:paraId="4C6C5484" w14:textId="77777777" w:rsidR="007C4AB6" w:rsidRPr="009D2FEF" w:rsidRDefault="007C4AB6" w:rsidP="009D2FEF">
      <w:pPr>
        <w:pStyle w:val="ListParagraph"/>
        <w:numPr>
          <w:ilvl w:val="0"/>
          <w:numId w:val="5"/>
        </w:numPr>
        <w:spacing w:line="360" w:lineRule="auto"/>
        <w:jc w:val="both"/>
        <w:rPr>
          <w:rFonts w:ascii="Garamond" w:hAnsi="Garamond"/>
          <w:sz w:val="24"/>
          <w:szCs w:val="24"/>
        </w:rPr>
      </w:pPr>
      <w:r w:rsidRPr="009D2FEF">
        <w:rPr>
          <w:rFonts w:ascii="Garamond" w:hAnsi="Garamond"/>
          <w:sz w:val="24"/>
          <w:szCs w:val="24"/>
        </w:rPr>
        <w:lastRenderedPageBreak/>
        <w:t>IoT devices (e.g., CCTV cameras, smartwatches)</w:t>
      </w:r>
    </w:p>
    <w:p w14:paraId="72F32950"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B. Online/Cloud-Based Sources</w:t>
      </w:r>
    </w:p>
    <w:p w14:paraId="7584C856" w14:textId="77777777" w:rsidR="007C4AB6" w:rsidRPr="007C4AB6" w:rsidRDefault="007C4AB6" w:rsidP="007C4AB6">
      <w:pPr>
        <w:numPr>
          <w:ilvl w:val="0"/>
          <w:numId w:val="6"/>
        </w:numPr>
        <w:spacing w:line="360" w:lineRule="auto"/>
        <w:jc w:val="both"/>
        <w:rPr>
          <w:rFonts w:ascii="Garamond" w:hAnsi="Garamond"/>
          <w:sz w:val="24"/>
          <w:szCs w:val="24"/>
        </w:rPr>
      </w:pPr>
      <w:r w:rsidRPr="007C4AB6">
        <w:rPr>
          <w:rFonts w:ascii="Garamond" w:hAnsi="Garamond"/>
          <w:sz w:val="24"/>
          <w:szCs w:val="24"/>
        </w:rPr>
        <w:t>Email platforms (Gmail, Outlook, etc.)</w:t>
      </w:r>
    </w:p>
    <w:p w14:paraId="02068933" w14:textId="77777777" w:rsidR="007C4AB6" w:rsidRPr="007C4AB6" w:rsidRDefault="007C4AB6" w:rsidP="007C4AB6">
      <w:pPr>
        <w:numPr>
          <w:ilvl w:val="0"/>
          <w:numId w:val="6"/>
        </w:numPr>
        <w:spacing w:line="360" w:lineRule="auto"/>
        <w:jc w:val="both"/>
        <w:rPr>
          <w:rFonts w:ascii="Garamond" w:hAnsi="Garamond"/>
          <w:sz w:val="24"/>
          <w:szCs w:val="24"/>
        </w:rPr>
      </w:pPr>
      <w:r w:rsidRPr="007C4AB6">
        <w:rPr>
          <w:rFonts w:ascii="Garamond" w:hAnsi="Garamond"/>
          <w:sz w:val="24"/>
          <w:szCs w:val="24"/>
        </w:rPr>
        <w:t>Messaging apps (WhatsApp, Telegram, Signal)</w:t>
      </w:r>
    </w:p>
    <w:p w14:paraId="4FCA2A0A" w14:textId="77777777" w:rsidR="007C4AB6" w:rsidRPr="007C4AB6" w:rsidRDefault="007C4AB6" w:rsidP="007C4AB6">
      <w:pPr>
        <w:numPr>
          <w:ilvl w:val="0"/>
          <w:numId w:val="6"/>
        </w:numPr>
        <w:spacing w:line="360" w:lineRule="auto"/>
        <w:jc w:val="both"/>
        <w:rPr>
          <w:rFonts w:ascii="Garamond" w:hAnsi="Garamond"/>
          <w:sz w:val="24"/>
          <w:szCs w:val="24"/>
        </w:rPr>
      </w:pPr>
      <w:r w:rsidRPr="007C4AB6">
        <w:rPr>
          <w:rFonts w:ascii="Garamond" w:hAnsi="Garamond"/>
          <w:sz w:val="24"/>
          <w:szCs w:val="24"/>
        </w:rPr>
        <w:t>Social media accounts (Instagram, Facebook, X)</w:t>
      </w:r>
    </w:p>
    <w:p w14:paraId="19BBAA8A" w14:textId="77777777" w:rsidR="007C4AB6" w:rsidRPr="007C4AB6" w:rsidRDefault="007C4AB6" w:rsidP="007C4AB6">
      <w:pPr>
        <w:numPr>
          <w:ilvl w:val="0"/>
          <w:numId w:val="6"/>
        </w:numPr>
        <w:spacing w:line="360" w:lineRule="auto"/>
        <w:jc w:val="both"/>
        <w:rPr>
          <w:rFonts w:ascii="Garamond" w:hAnsi="Garamond"/>
          <w:sz w:val="24"/>
          <w:szCs w:val="24"/>
        </w:rPr>
      </w:pPr>
      <w:r w:rsidRPr="007C4AB6">
        <w:rPr>
          <w:rFonts w:ascii="Garamond" w:hAnsi="Garamond"/>
          <w:sz w:val="24"/>
          <w:szCs w:val="24"/>
        </w:rPr>
        <w:t>Cloud storage (Google Drive, OneDrive, iCloud)</w:t>
      </w:r>
    </w:p>
    <w:p w14:paraId="4F8A1FA3"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C. Other Sources</w:t>
      </w:r>
    </w:p>
    <w:p w14:paraId="00EC9034" w14:textId="77777777" w:rsidR="007C4AB6" w:rsidRPr="007C4AB6" w:rsidRDefault="007C4AB6" w:rsidP="007C4AB6">
      <w:pPr>
        <w:numPr>
          <w:ilvl w:val="0"/>
          <w:numId w:val="7"/>
        </w:numPr>
        <w:spacing w:line="360" w:lineRule="auto"/>
        <w:jc w:val="both"/>
        <w:rPr>
          <w:rFonts w:ascii="Garamond" w:hAnsi="Garamond"/>
          <w:sz w:val="24"/>
          <w:szCs w:val="24"/>
        </w:rPr>
      </w:pPr>
      <w:r w:rsidRPr="007C4AB6">
        <w:rPr>
          <w:rFonts w:ascii="Garamond" w:hAnsi="Garamond"/>
          <w:b/>
          <w:bCs/>
          <w:sz w:val="24"/>
          <w:szCs w:val="24"/>
        </w:rPr>
        <w:t>Server logs</w:t>
      </w:r>
    </w:p>
    <w:p w14:paraId="0E64C228" w14:textId="77777777" w:rsidR="007C4AB6" w:rsidRPr="007C4AB6" w:rsidRDefault="007C4AB6" w:rsidP="007C4AB6">
      <w:pPr>
        <w:numPr>
          <w:ilvl w:val="0"/>
          <w:numId w:val="7"/>
        </w:numPr>
        <w:spacing w:line="360" w:lineRule="auto"/>
        <w:jc w:val="both"/>
        <w:rPr>
          <w:rFonts w:ascii="Garamond" w:hAnsi="Garamond"/>
          <w:sz w:val="24"/>
          <w:szCs w:val="24"/>
        </w:rPr>
      </w:pPr>
      <w:r w:rsidRPr="007C4AB6">
        <w:rPr>
          <w:rFonts w:ascii="Garamond" w:hAnsi="Garamond"/>
          <w:b/>
          <w:bCs/>
          <w:sz w:val="24"/>
          <w:szCs w:val="24"/>
        </w:rPr>
        <w:t>GPS/location data</w:t>
      </w:r>
    </w:p>
    <w:p w14:paraId="4A7932E7" w14:textId="59E2E900" w:rsidR="007C4AB6" w:rsidRPr="007C4AB6" w:rsidRDefault="00D31556" w:rsidP="007C4AB6">
      <w:pPr>
        <w:numPr>
          <w:ilvl w:val="0"/>
          <w:numId w:val="7"/>
        </w:numPr>
        <w:spacing w:line="360" w:lineRule="auto"/>
        <w:jc w:val="both"/>
        <w:rPr>
          <w:rFonts w:ascii="Garamond" w:hAnsi="Garamond"/>
          <w:sz w:val="24"/>
          <w:szCs w:val="24"/>
        </w:rPr>
      </w:pPr>
      <w:r w:rsidRPr="00D31556">
        <w:rPr>
          <w:rFonts w:ascii="Garamond" w:hAnsi="Garamond"/>
          <w:b/>
          <w:bCs/>
          <w:sz w:val="24"/>
          <w:szCs w:val="24"/>
        </w:rPr>
        <w:t>Exchangeable Image File Format</w:t>
      </w:r>
      <w:r>
        <w:rPr>
          <w:rFonts w:ascii="Garamond" w:hAnsi="Garamond"/>
          <w:b/>
          <w:bCs/>
          <w:sz w:val="24"/>
          <w:szCs w:val="24"/>
        </w:rPr>
        <w:t xml:space="preserve"> (</w:t>
      </w:r>
      <w:r w:rsidR="007C4AB6" w:rsidRPr="007C4AB6">
        <w:rPr>
          <w:rFonts w:ascii="Garamond" w:hAnsi="Garamond"/>
          <w:b/>
          <w:bCs/>
          <w:sz w:val="24"/>
          <w:szCs w:val="24"/>
        </w:rPr>
        <w:t>EXIF</w:t>
      </w:r>
      <w:r>
        <w:rPr>
          <w:rFonts w:ascii="Garamond" w:hAnsi="Garamond"/>
          <w:b/>
          <w:bCs/>
          <w:sz w:val="24"/>
          <w:szCs w:val="24"/>
        </w:rPr>
        <w:t>)</w:t>
      </w:r>
      <w:r w:rsidR="007C4AB6" w:rsidRPr="007C4AB6">
        <w:rPr>
          <w:rFonts w:ascii="Garamond" w:hAnsi="Garamond"/>
          <w:b/>
          <w:bCs/>
          <w:sz w:val="24"/>
          <w:szCs w:val="24"/>
        </w:rPr>
        <w:t xml:space="preserve"> data</w:t>
      </w:r>
      <w:r w:rsidR="007C4AB6" w:rsidRPr="007C4AB6">
        <w:rPr>
          <w:rFonts w:ascii="Garamond" w:hAnsi="Garamond"/>
          <w:sz w:val="24"/>
          <w:szCs w:val="24"/>
        </w:rPr>
        <w:t xml:space="preserve"> in digital images</w:t>
      </w:r>
    </w:p>
    <w:p w14:paraId="26A29A01" w14:textId="77777777" w:rsidR="007C4AB6" w:rsidRPr="007C4AB6" w:rsidRDefault="007C4AB6" w:rsidP="007C4AB6">
      <w:pPr>
        <w:numPr>
          <w:ilvl w:val="0"/>
          <w:numId w:val="7"/>
        </w:numPr>
        <w:spacing w:line="360" w:lineRule="auto"/>
        <w:jc w:val="both"/>
        <w:rPr>
          <w:rFonts w:ascii="Garamond" w:hAnsi="Garamond"/>
          <w:sz w:val="24"/>
          <w:szCs w:val="24"/>
        </w:rPr>
      </w:pPr>
      <w:r w:rsidRPr="007C4AB6">
        <w:rPr>
          <w:rFonts w:ascii="Garamond" w:hAnsi="Garamond"/>
          <w:b/>
          <w:bCs/>
          <w:sz w:val="24"/>
          <w:szCs w:val="24"/>
        </w:rPr>
        <w:t>Blockchain and smart contracts</w:t>
      </w:r>
    </w:p>
    <w:p w14:paraId="46FADE7F"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3AC5B6A4">
          <v:rect id="_x0000_i1029" style="width:0;height:1.5pt" o:hralign="center" o:hrstd="t" o:hr="t" fillcolor="#a0a0a0" stroked="f"/>
        </w:pict>
      </w:r>
    </w:p>
    <w:p w14:paraId="21368894"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1.5 Legal Framework Governing Electronic Evidence in the UAE</w:t>
      </w:r>
    </w:p>
    <w:p w14:paraId="44225275"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 xml:space="preserve">The UAE has enacted several key statutes governing the </w:t>
      </w:r>
      <w:r w:rsidRPr="007C4AB6">
        <w:rPr>
          <w:rFonts w:ascii="Garamond" w:hAnsi="Garamond"/>
          <w:b/>
          <w:bCs/>
          <w:sz w:val="24"/>
          <w:szCs w:val="24"/>
        </w:rPr>
        <w:t>admissibility, use, and authenticity</w:t>
      </w:r>
      <w:r w:rsidRPr="007C4AB6">
        <w:rPr>
          <w:rFonts w:ascii="Garamond" w:hAnsi="Garamond"/>
          <w:sz w:val="24"/>
          <w:szCs w:val="24"/>
        </w:rPr>
        <w:t xml:space="preserve"> of digital evidence:</w:t>
      </w:r>
    </w:p>
    <w:p w14:paraId="73C23149"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Federal Decree-Law No. 35 of 2022</w:t>
      </w:r>
    </w:p>
    <w:p w14:paraId="7BE9B51A" w14:textId="77777777" w:rsidR="007C4AB6" w:rsidRPr="007C4AB6" w:rsidRDefault="007C4AB6" w:rsidP="007C4AB6">
      <w:pPr>
        <w:numPr>
          <w:ilvl w:val="0"/>
          <w:numId w:val="8"/>
        </w:numPr>
        <w:spacing w:line="360" w:lineRule="auto"/>
        <w:jc w:val="both"/>
        <w:rPr>
          <w:rFonts w:ascii="Garamond" w:hAnsi="Garamond"/>
          <w:sz w:val="24"/>
          <w:szCs w:val="24"/>
        </w:rPr>
      </w:pPr>
      <w:r w:rsidRPr="007C4AB6">
        <w:rPr>
          <w:rFonts w:ascii="Garamond" w:hAnsi="Garamond"/>
          <w:sz w:val="24"/>
          <w:szCs w:val="24"/>
        </w:rPr>
        <w:t>Law of Evidence in Civil and Commercial Transactions</w:t>
      </w:r>
    </w:p>
    <w:p w14:paraId="4FD5A2C0" w14:textId="77777777" w:rsidR="007C4AB6" w:rsidRPr="007C4AB6" w:rsidRDefault="007C4AB6" w:rsidP="007C4AB6">
      <w:pPr>
        <w:numPr>
          <w:ilvl w:val="0"/>
          <w:numId w:val="8"/>
        </w:numPr>
        <w:spacing w:line="360" w:lineRule="auto"/>
        <w:jc w:val="both"/>
        <w:rPr>
          <w:rFonts w:ascii="Garamond" w:hAnsi="Garamond"/>
          <w:sz w:val="24"/>
          <w:szCs w:val="24"/>
        </w:rPr>
      </w:pPr>
      <w:r w:rsidRPr="007C4AB6">
        <w:rPr>
          <w:rFonts w:ascii="Garamond" w:hAnsi="Garamond"/>
          <w:sz w:val="24"/>
          <w:szCs w:val="24"/>
        </w:rPr>
        <w:t>Establishes rules for electronic evidence, recognition of e-signatures and e-records (Articles 53–64)</w:t>
      </w:r>
    </w:p>
    <w:p w14:paraId="51D186C7" w14:textId="77777777" w:rsidR="007C4AB6" w:rsidRPr="007C4AB6" w:rsidRDefault="007C4AB6" w:rsidP="007C4AB6">
      <w:pPr>
        <w:numPr>
          <w:ilvl w:val="0"/>
          <w:numId w:val="8"/>
        </w:numPr>
        <w:spacing w:line="360" w:lineRule="auto"/>
        <w:jc w:val="both"/>
        <w:rPr>
          <w:rFonts w:ascii="Garamond" w:hAnsi="Garamond"/>
          <w:sz w:val="24"/>
          <w:szCs w:val="24"/>
        </w:rPr>
      </w:pPr>
      <w:r w:rsidRPr="007C4AB6">
        <w:rPr>
          <w:rFonts w:ascii="Garamond" w:hAnsi="Garamond"/>
          <w:sz w:val="24"/>
          <w:szCs w:val="24"/>
        </w:rPr>
        <w:t>Equates electronic and paper evidence if authenticity and integrity are proven</w:t>
      </w:r>
    </w:p>
    <w:p w14:paraId="6E2C50C3"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Federal Decree-Law No. 46 of 2021</w:t>
      </w:r>
    </w:p>
    <w:p w14:paraId="35234C31" w14:textId="77777777" w:rsidR="007C4AB6" w:rsidRPr="007C4AB6" w:rsidRDefault="007C4AB6" w:rsidP="007C4AB6">
      <w:pPr>
        <w:numPr>
          <w:ilvl w:val="0"/>
          <w:numId w:val="9"/>
        </w:numPr>
        <w:spacing w:line="360" w:lineRule="auto"/>
        <w:jc w:val="both"/>
        <w:rPr>
          <w:rFonts w:ascii="Garamond" w:hAnsi="Garamond"/>
          <w:sz w:val="24"/>
          <w:szCs w:val="24"/>
        </w:rPr>
      </w:pPr>
      <w:r w:rsidRPr="007C4AB6">
        <w:rPr>
          <w:rFonts w:ascii="Garamond" w:hAnsi="Garamond"/>
          <w:sz w:val="24"/>
          <w:szCs w:val="24"/>
        </w:rPr>
        <w:t>On Electronic Transactions and Trust Services</w:t>
      </w:r>
    </w:p>
    <w:p w14:paraId="262EB750" w14:textId="77777777" w:rsidR="007C4AB6" w:rsidRPr="007C4AB6" w:rsidRDefault="007C4AB6" w:rsidP="007C4AB6">
      <w:pPr>
        <w:numPr>
          <w:ilvl w:val="0"/>
          <w:numId w:val="9"/>
        </w:numPr>
        <w:spacing w:line="360" w:lineRule="auto"/>
        <w:jc w:val="both"/>
        <w:rPr>
          <w:rFonts w:ascii="Garamond" w:hAnsi="Garamond"/>
          <w:sz w:val="24"/>
          <w:szCs w:val="24"/>
        </w:rPr>
      </w:pPr>
      <w:r w:rsidRPr="007C4AB6">
        <w:rPr>
          <w:rFonts w:ascii="Garamond" w:hAnsi="Garamond"/>
          <w:sz w:val="24"/>
          <w:szCs w:val="24"/>
        </w:rPr>
        <w:t xml:space="preserve">Defines legal validity of electronic documents and </w:t>
      </w:r>
      <w:r w:rsidRPr="007C4AB6">
        <w:rPr>
          <w:rFonts w:ascii="Garamond" w:hAnsi="Garamond"/>
          <w:b/>
          <w:bCs/>
          <w:sz w:val="24"/>
          <w:szCs w:val="24"/>
        </w:rPr>
        <w:t>qualified e-signatures</w:t>
      </w:r>
    </w:p>
    <w:p w14:paraId="693B44C9" w14:textId="77777777" w:rsidR="007C4AB6" w:rsidRDefault="007C4AB6" w:rsidP="007C4AB6">
      <w:pPr>
        <w:numPr>
          <w:ilvl w:val="0"/>
          <w:numId w:val="9"/>
        </w:numPr>
        <w:spacing w:line="360" w:lineRule="auto"/>
        <w:jc w:val="both"/>
        <w:rPr>
          <w:rFonts w:ascii="Garamond" w:hAnsi="Garamond"/>
          <w:sz w:val="24"/>
          <w:szCs w:val="24"/>
        </w:rPr>
      </w:pPr>
      <w:r w:rsidRPr="007C4AB6">
        <w:rPr>
          <w:rFonts w:ascii="Garamond" w:hAnsi="Garamond"/>
          <w:sz w:val="24"/>
          <w:szCs w:val="24"/>
        </w:rPr>
        <w:t xml:space="preserve">Recognizes </w:t>
      </w:r>
      <w:r w:rsidRPr="007C4AB6">
        <w:rPr>
          <w:rFonts w:ascii="Garamond" w:hAnsi="Garamond"/>
          <w:b/>
          <w:bCs/>
          <w:sz w:val="24"/>
          <w:szCs w:val="24"/>
        </w:rPr>
        <w:t>advanced digital trust services</w:t>
      </w:r>
      <w:r w:rsidRPr="007C4AB6">
        <w:rPr>
          <w:rFonts w:ascii="Garamond" w:hAnsi="Garamond"/>
          <w:sz w:val="24"/>
          <w:szCs w:val="24"/>
        </w:rPr>
        <w:t xml:space="preserve"> (Digital ID, e-Seals)</w:t>
      </w:r>
    </w:p>
    <w:p w14:paraId="22CFBC01" w14:textId="77777777" w:rsidR="00A15607" w:rsidRDefault="00A15607" w:rsidP="00A15607">
      <w:pPr>
        <w:spacing w:line="360" w:lineRule="auto"/>
        <w:ind w:left="720"/>
        <w:jc w:val="both"/>
        <w:rPr>
          <w:rFonts w:ascii="Garamond" w:hAnsi="Garamond"/>
          <w:sz w:val="24"/>
          <w:szCs w:val="24"/>
        </w:rPr>
        <w:sectPr w:rsidR="00A15607" w:rsidSect="0049273E">
          <w:footerReference w:type="firs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1CAD339"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lastRenderedPageBreak/>
        <w:t>📜</w:t>
      </w:r>
      <w:r w:rsidRPr="007C4AB6">
        <w:rPr>
          <w:rFonts w:ascii="Garamond" w:hAnsi="Garamond"/>
          <w:b/>
          <w:bCs/>
          <w:sz w:val="24"/>
          <w:szCs w:val="24"/>
        </w:rPr>
        <w:t xml:space="preserve"> Federal Decree-Law No. 34 of 2021</w:t>
      </w:r>
    </w:p>
    <w:p w14:paraId="7D160360" w14:textId="77777777" w:rsidR="007C4AB6" w:rsidRPr="007C4AB6" w:rsidRDefault="007C4AB6" w:rsidP="007C4AB6">
      <w:pPr>
        <w:numPr>
          <w:ilvl w:val="0"/>
          <w:numId w:val="10"/>
        </w:numPr>
        <w:spacing w:line="360" w:lineRule="auto"/>
        <w:jc w:val="both"/>
        <w:rPr>
          <w:rFonts w:ascii="Garamond" w:hAnsi="Garamond"/>
          <w:sz w:val="24"/>
          <w:szCs w:val="24"/>
        </w:rPr>
      </w:pPr>
      <w:r w:rsidRPr="007C4AB6">
        <w:rPr>
          <w:rFonts w:ascii="Garamond" w:hAnsi="Garamond"/>
          <w:sz w:val="24"/>
          <w:szCs w:val="24"/>
        </w:rPr>
        <w:t>On Combatting Cybercrimes</w:t>
      </w:r>
    </w:p>
    <w:p w14:paraId="508C79A1" w14:textId="77777777" w:rsidR="007C4AB6" w:rsidRPr="007C4AB6" w:rsidRDefault="007C4AB6" w:rsidP="007C4AB6">
      <w:pPr>
        <w:numPr>
          <w:ilvl w:val="0"/>
          <w:numId w:val="10"/>
        </w:numPr>
        <w:spacing w:line="360" w:lineRule="auto"/>
        <w:jc w:val="both"/>
        <w:rPr>
          <w:rFonts w:ascii="Garamond" w:hAnsi="Garamond"/>
          <w:sz w:val="24"/>
          <w:szCs w:val="24"/>
        </w:rPr>
      </w:pPr>
      <w:r w:rsidRPr="007C4AB6">
        <w:rPr>
          <w:rFonts w:ascii="Garamond" w:hAnsi="Garamond"/>
          <w:sz w:val="24"/>
          <w:szCs w:val="24"/>
        </w:rPr>
        <w:t>Criminalizes acts like hacking, e-fraud, defamation, data breaches</w:t>
      </w:r>
    </w:p>
    <w:p w14:paraId="3822E3CA" w14:textId="77777777" w:rsidR="007C4AB6" w:rsidRPr="007C4AB6" w:rsidRDefault="007C4AB6" w:rsidP="007C4AB6">
      <w:pPr>
        <w:numPr>
          <w:ilvl w:val="0"/>
          <w:numId w:val="10"/>
        </w:numPr>
        <w:spacing w:line="360" w:lineRule="auto"/>
        <w:jc w:val="both"/>
        <w:rPr>
          <w:rFonts w:ascii="Garamond" w:hAnsi="Garamond"/>
          <w:sz w:val="24"/>
          <w:szCs w:val="24"/>
        </w:rPr>
      </w:pPr>
      <w:r w:rsidRPr="007C4AB6">
        <w:rPr>
          <w:rFonts w:ascii="Garamond" w:hAnsi="Garamond"/>
          <w:sz w:val="24"/>
          <w:szCs w:val="24"/>
        </w:rPr>
        <w:t>Permits collection and analysis of digital evidence for prosecution</w:t>
      </w:r>
    </w:p>
    <w:p w14:paraId="2D898F1B"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DIFC Data Protection Law No. 5 of 2020</w:t>
      </w:r>
    </w:p>
    <w:p w14:paraId="1143C6AB" w14:textId="4FA12E4F" w:rsidR="007C4AB6" w:rsidRPr="007C4AB6" w:rsidRDefault="007C4AB6" w:rsidP="007C4AB6">
      <w:pPr>
        <w:numPr>
          <w:ilvl w:val="0"/>
          <w:numId w:val="11"/>
        </w:numPr>
        <w:spacing w:line="360" w:lineRule="auto"/>
        <w:jc w:val="both"/>
        <w:rPr>
          <w:rFonts w:ascii="Garamond" w:hAnsi="Garamond"/>
          <w:sz w:val="24"/>
          <w:szCs w:val="24"/>
        </w:rPr>
      </w:pPr>
      <w:r w:rsidRPr="007C4AB6">
        <w:rPr>
          <w:rFonts w:ascii="Garamond" w:hAnsi="Garamond"/>
          <w:sz w:val="24"/>
          <w:szCs w:val="24"/>
        </w:rPr>
        <w:t xml:space="preserve">Applies to entities within </w:t>
      </w:r>
      <w:hyperlink r:id="rId10" w:tooltip="Dubai International Financial Centre" w:history="1">
        <w:r w:rsidR="001C79C8" w:rsidRPr="00A444C4">
          <w:rPr>
            <w:rStyle w:val="Hyperlink"/>
            <w:rFonts w:ascii="Garamond" w:hAnsi="Garamond"/>
            <w:color w:val="auto"/>
            <w:sz w:val="24"/>
            <w:szCs w:val="24"/>
            <w:u w:val="none"/>
          </w:rPr>
          <w:t>Dubai International Financial Centre</w:t>
        </w:r>
      </w:hyperlink>
      <w:r w:rsidR="00A444C4" w:rsidRPr="00A444C4">
        <w:rPr>
          <w:rFonts w:ascii="Garamond" w:hAnsi="Garamond"/>
          <w:sz w:val="24"/>
          <w:szCs w:val="24"/>
        </w:rPr>
        <w:t xml:space="preserve"> </w:t>
      </w:r>
      <w:r w:rsidR="00A444C4">
        <w:rPr>
          <w:rFonts w:ascii="Garamond" w:hAnsi="Garamond"/>
          <w:sz w:val="24"/>
          <w:szCs w:val="24"/>
        </w:rPr>
        <w:t>(</w:t>
      </w:r>
      <w:r w:rsidRPr="007C4AB6">
        <w:rPr>
          <w:rFonts w:ascii="Garamond" w:hAnsi="Garamond"/>
          <w:sz w:val="24"/>
          <w:szCs w:val="24"/>
        </w:rPr>
        <w:t>DIFC</w:t>
      </w:r>
      <w:r w:rsidR="00A444C4">
        <w:rPr>
          <w:rFonts w:ascii="Garamond" w:hAnsi="Garamond"/>
          <w:sz w:val="24"/>
          <w:szCs w:val="24"/>
        </w:rPr>
        <w:t>)</w:t>
      </w:r>
      <w:r w:rsidRPr="007C4AB6">
        <w:rPr>
          <w:rFonts w:ascii="Garamond" w:hAnsi="Garamond"/>
          <w:sz w:val="24"/>
          <w:szCs w:val="24"/>
        </w:rPr>
        <w:t xml:space="preserve"> jurisdiction</w:t>
      </w:r>
      <w:r w:rsidR="00A444C4">
        <w:rPr>
          <w:rFonts w:ascii="Garamond" w:hAnsi="Garamond"/>
          <w:sz w:val="24"/>
          <w:szCs w:val="24"/>
        </w:rPr>
        <w:t>.</w:t>
      </w:r>
    </w:p>
    <w:p w14:paraId="70294903" w14:textId="77777777" w:rsidR="007C4AB6" w:rsidRPr="007C4AB6" w:rsidRDefault="007C4AB6" w:rsidP="007C4AB6">
      <w:pPr>
        <w:numPr>
          <w:ilvl w:val="0"/>
          <w:numId w:val="11"/>
        </w:numPr>
        <w:spacing w:line="360" w:lineRule="auto"/>
        <w:jc w:val="both"/>
        <w:rPr>
          <w:rFonts w:ascii="Garamond" w:hAnsi="Garamond"/>
          <w:sz w:val="24"/>
          <w:szCs w:val="24"/>
        </w:rPr>
      </w:pPr>
      <w:r w:rsidRPr="007C4AB6">
        <w:rPr>
          <w:rFonts w:ascii="Garamond" w:hAnsi="Garamond"/>
          <w:sz w:val="24"/>
          <w:szCs w:val="24"/>
        </w:rPr>
        <w:t xml:space="preserve">Focuses on </w:t>
      </w:r>
      <w:r w:rsidRPr="007C4AB6">
        <w:rPr>
          <w:rFonts w:ascii="Garamond" w:hAnsi="Garamond"/>
          <w:b/>
          <w:bCs/>
          <w:sz w:val="24"/>
          <w:szCs w:val="24"/>
        </w:rPr>
        <w:t>data privacy</w:t>
      </w:r>
      <w:r w:rsidRPr="007C4AB6">
        <w:rPr>
          <w:rFonts w:ascii="Garamond" w:hAnsi="Garamond"/>
          <w:sz w:val="24"/>
          <w:szCs w:val="24"/>
        </w:rPr>
        <w:t>, retention, and breach response</w:t>
      </w:r>
    </w:p>
    <w:p w14:paraId="7AE2EF73" w14:textId="77777777" w:rsidR="007C4AB6" w:rsidRPr="007C4AB6" w:rsidRDefault="007C4AB6" w:rsidP="007C4AB6">
      <w:pPr>
        <w:numPr>
          <w:ilvl w:val="0"/>
          <w:numId w:val="11"/>
        </w:numPr>
        <w:spacing w:line="360" w:lineRule="auto"/>
        <w:jc w:val="both"/>
        <w:rPr>
          <w:rFonts w:ascii="Garamond" w:hAnsi="Garamond"/>
          <w:sz w:val="24"/>
          <w:szCs w:val="24"/>
        </w:rPr>
      </w:pPr>
      <w:r w:rsidRPr="007C4AB6">
        <w:rPr>
          <w:rFonts w:ascii="Garamond" w:hAnsi="Garamond"/>
          <w:sz w:val="24"/>
          <w:szCs w:val="24"/>
        </w:rPr>
        <w:t>Supports lawful handling of personal data during investigations</w:t>
      </w:r>
    </w:p>
    <w:p w14:paraId="6F08F640"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UAE Penal Code and Criminal Procedure Code</w:t>
      </w:r>
    </w:p>
    <w:p w14:paraId="45DBEF9C" w14:textId="77777777" w:rsidR="007C4AB6" w:rsidRPr="007C4AB6" w:rsidRDefault="007C4AB6" w:rsidP="007C4AB6">
      <w:pPr>
        <w:numPr>
          <w:ilvl w:val="0"/>
          <w:numId w:val="12"/>
        </w:numPr>
        <w:spacing w:line="360" w:lineRule="auto"/>
        <w:jc w:val="both"/>
        <w:rPr>
          <w:rFonts w:ascii="Garamond" w:hAnsi="Garamond"/>
          <w:sz w:val="24"/>
          <w:szCs w:val="24"/>
        </w:rPr>
      </w:pPr>
      <w:r w:rsidRPr="007C4AB6">
        <w:rPr>
          <w:rFonts w:ascii="Garamond" w:hAnsi="Garamond"/>
          <w:sz w:val="24"/>
          <w:szCs w:val="24"/>
        </w:rPr>
        <w:t>Apply general evidentiary principles and due process</w:t>
      </w:r>
    </w:p>
    <w:p w14:paraId="2183FEFA" w14:textId="77777777" w:rsidR="007C4AB6" w:rsidRPr="007C4AB6" w:rsidRDefault="007C4AB6" w:rsidP="007C4AB6">
      <w:pPr>
        <w:numPr>
          <w:ilvl w:val="0"/>
          <w:numId w:val="12"/>
        </w:numPr>
        <w:spacing w:line="360" w:lineRule="auto"/>
        <w:jc w:val="both"/>
        <w:rPr>
          <w:rFonts w:ascii="Garamond" w:hAnsi="Garamond"/>
          <w:sz w:val="24"/>
          <w:szCs w:val="24"/>
        </w:rPr>
      </w:pPr>
      <w:r w:rsidRPr="007C4AB6">
        <w:rPr>
          <w:rFonts w:ascii="Garamond" w:hAnsi="Garamond"/>
          <w:sz w:val="24"/>
          <w:szCs w:val="24"/>
        </w:rPr>
        <w:t>Allow use of electronic records in criminal cases if legally obtained</w:t>
      </w:r>
    </w:p>
    <w:p w14:paraId="5FD98559" w14:textId="77777777" w:rsidR="007C4AB6" w:rsidRPr="007C4AB6" w:rsidRDefault="007C4AB6" w:rsidP="007C4AB6">
      <w:pPr>
        <w:numPr>
          <w:ilvl w:val="0"/>
          <w:numId w:val="12"/>
        </w:numPr>
        <w:spacing w:line="360" w:lineRule="auto"/>
        <w:jc w:val="both"/>
        <w:rPr>
          <w:rFonts w:ascii="Garamond" w:hAnsi="Garamond"/>
          <w:sz w:val="24"/>
          <w:szCs w:val="24"/>
        </w:rPr>
      </w:pPr>
      <w:r w:rsidRPr="007C4AB6">
        <w:rPr>
          <w:rFonts w:ascii="Garamond" w:hAnsi="Garamond"/>
          <w:sz w:val="24"/>
          <w:szCs w:val="24"/>
        </w:rPr>
        <w:t>Support chain-of-custody, expert evaluation, and judicial review</w:t>
      </w:r>
    </w:p>
    <w:p w14:paraId="36DDA0F1" w14:textId="77777777" w:rsidR="007C4AB6" w:rsidRPr="007C4AB6" w:rsidRDefault="007C4AB6" w:rsidP="007C4AB6">
      <w:pPr>
        <w:spacing w:line="360" w:lineRule="auto"/>
        <w:jc w:val="both"/>
        <w:rPr>
          <w:rFonts w:ascii="Garamond" w:hAnsi="Garamond"/>
          <w:b/>
          <w:bCs/>
          <w:i/>
          <w:iCs/>
          <w:sz w:val="24"/>
          <w:szCs w:val="24"/>
        </w:rPr>
      </w:pPr>
      <w:r w:rsidRPr="007C4AB6">
        <w:rPr>
          <w:rFonts w:ascii="Garamond" w:hAnsi="Garamond"/>
          <w:b/>
          <w:bCs/>
          <w:i/>
          <w:iCs/>
          <w:sz w:val="24"/>
          <w:szCs w:val="24"/>
        </w:rPr>
        <w:t>Note: While the GDPR and Budapest Convention are not binding in the UAE, their principles often influence cross-border cooperation and privacy protocols in digital evidence handling.</w:t>
      </w:r>
    </w:p>
    <w:p w14:paraId="6F740FD2" w14:textId="77777777" w:rsidR="007C4AB6" w:rsidRPr="007C4AB6" w:rsidRDefault="00000000" w:rsidP="007C4AB6">
      <w:pPr>
        <w:spacing w:line="360" w:lineRule="auto"/>
        <w:jc w:val="both"/>
        <w:rPr>
          <w:rFonts w:ascii="Garamond" w:hAnsi="Garamond"/>
          <w:sz w:val="24"/>
          <w:szCs w:val="24"/>
        </w:rPr>
      </w:pPr>
      <w:r>
        <w:rPr>
          <w:rFonts w:ascii="Garamond" w:hAnsi="Garamond"/>
          <w:sz w:val="24"/>
          <w:szCs w:val="24"/>
        </w:rPr>
        <w:pict w14:anchorId="4DFC81C0">
          <v:rect id="_x0000_i1030" style="width:0;height:1.5pt" o:hralign="center" o:hrstd="t" o:hr="t" fillcolor="#a0a0a0" stroked="f"/>
        </w:pict>
      </w:r>
    </w:p>
    <w:p w14:paraId="528FD610" w14:textId="77777777" w:rsidR="007C4AB6" w:rsidRPr="007C4AB6" w:rsidRDefault="007C4AB6" w:rsidP="007C4AB6">
      <w:pPr>
        <w:spacing w:line="360" w:lineRule="auto"/>
        <w:jc w:val="both"/>
        <w:rPr>
          <w:rFonts w:ascii="Garamond" w:hAnsi="Garamond"/>
          <w:b/>
          <w:bCs/>
          <w:sz w:val="24"/>
          <w:szCs w:val="24"/>
        </w:rPr>
      </w:pPr>
      <w:r w:rsidRPr="007C4AB6">
        <w:rPr>
          <w:rFonts w:ascii="Garamond" w:hAnsi="Garamond"/>
          <w:b/>
          <w:bCs/>
          <w:sz w:val="24"/>
          <w:szCs w:val="24"/>
        </w:rPr>
        <w:t>1.6 Role of Law Enforcement and Regulatory Authorities</w:t>
      </w:r>
    </w:p>
    <w:p w14:paraId="7313F781" w14:textId="77777777" w:rsidR="007C4AB6" w:rsidRPr="007C4AB6" w:rsidRDefault="007C4AB6" w:rsidP="007C4AB6">
      <w:pPr>
        <w:spacing w:line="360" w:lineRule="auto"/>
        <w:jc w:val="both"/>
        <w:rPr>
          <w:rFonts w:ascii="Garamond" w:hAnsi="Garamond"/>
          <w:sz w:val="24"/>
          <w:szCs w:val="24"/>
        </w:rPr>
      </w:pPr>
      <w:r w:rsidRPr="007C4AB6">
        <w:rPr>
          <w:rFonts w:ascii="Garamond" w:hAnsi="Garamond"/>
          <w:sz w:val="24"/>
          <w:szCs w:val="24"/>
        </w:rPr>
        <w:t>Several authorities are entrusted with managing and processing electronic evidence:</w:t>
      </w:r>
    </w:p>
    <w:p w14:paraId="600B0BF1"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Cybercrime Units (Police)</w:t>
      </w:r>
    </w:p>
    <w:p w14:paraId="22D614F6" w14:textId="77777777" w:rsidR="007C4AB6" w:rsidRPr="007C4AB6" w:rsidRDefault="007C4AB6" w:rsidP="007C4AB6">
      <w:pPr>
        <w:numPr>
          <w:ilvl w:val="0"/>
          <w:numId w:val="13"/>
        </w:numPr>
        <w:spacing w:line="360" w:lineRule="auto"/>
        <w:jc w:val="both"/>
        <w:rPr>
          <w:rFonts w:ascii="Garamond" w:hAnsi="Garamond"/>
          <w:sz w:val="24"/>
          <w:szCs w:val="24"/>
        </w:rPr>
      </w:pPr>
      <w:r w:rsidRPr="007C4AB6">
        <w:rPr>
          <w:rFonts w:ascii="Garamond" w:hAnsi="Garamond"/>
          <w:sz w:val="24"/>
          <w:szCs w:val="24"/>
        </w:rPr>
        <w:t>Conduct digital forensics</w:t>
      </w:r>
    </w:p>
    <w:p w14:paraId="09EEF73D" w14:textId="6C74AFD6" w:rsidR="007C4AB6" w:rsidRPr="007C4AB6" w:rsidRDefault="007C4AB6" w:rsidP="007C4AB6">
      <w:pPr>
        <w:numPr>
          <w:ilvl w:val="0"/>
          <w:numId w:val="13"/>
        </w:numPr>
        <w:spacing w:line="360" w:lineRule="auto"/>
        <w:jc w:val="both"/>
        <w:rPr>
          <w:rFonts w:ascii="Garamond" w:hAnsi="Garamond"/>
          <w:sz w:val="24"/>
          <w:szCs w:val="24"/>
        </w:rPr>
      </w:pPr>
      <w:r w:rsidRPr="007C4AB6">
        <w:rPr>
          <w:rFonts w:ascii="Garamond" w:hAnsi="Garamond"/>
          <w:sz w:val="24"/>
          <w:szCs w:val="24"/>
        </w:rPr>
        <w:t>Seize, preserve, and analy</w:t>
      </w:r>
      <w:r w:rsidR="00FB282C">
        <w:rPr>
          <w:rFonts w:ascii="Garamond" w:hAnsi="Garamond"/>
          <w:sz w:val="24"/>
          <w:szCs w:val="24"/>
        </w:rPr>
        <w:t>s</w:t>
      </w:r>
      <w:r w:rsidRPr="007C4AB6">
        <w:rPr>
          <w:rFonts w:ascii="Garamond" w:hAnsi="Garamond"/>
          <w:sz w:val="24"/>
          <w:szCs w:val="24"/>
        </w:rPr>
        <w:t>e digital devices and accounts</w:t>
      </w:r>
    </w:p>
    <w:p w14:paraId="2F8F98C8" w14:textId="77777777" w:rsidR="007C4AB6" w:rsidRPr="007C4AB6" w:rsidRDefault="007C4AB6" w:rsidP="007C4AB6">
      <w:pPr>
        <w:numPr>
          <w:ilvl w:val="0"/>
          <w:numId w:val="13"/>
        </w:numPr>
        <w:spacing w:line="360" w:lineRule="auto"/>
        <w:jc w:val="both"/>
        <w:rPr>
          <w:rFonts w:ascii="Garamond" w:hAnsi="Garamond"/>
          <w:sz w:val="24"/>
          <w:szCs w:val="24"/>
        </w:rPr>
      </w:pPr>
      <w:r w:rsidRPr="007C4AB6">
        <w:rPr>
          <w:rFonts w:ascii="Garamond" w:hAnsi="Garamond"/>
          <w:sz w:val="24"/>
          <w:szCs w:val="24"/>
        </w:rPr>
        <w:t>Coordinate with prosecutors on admissibility</w:t>
      </w:r>
    </w:p>
    <w:p w14:paraId="71920F82" w14:textId="77777777" w:rsidR="00327169" w:rsidRDefault="00327169" w:rsidP="007C4AB6">
      <w:pPr>
        <w:spacing w:line="360" w:lineRule="auto"/>
        <w:jc w:val="both"/>
        <w:rPr>
          <w:rFonts w:ascii="Segoe UI Emoji" w:hAnsi="Segoe UI Emoji" w:cs="Segoe UI Emoji"/>
          <w:b/>
          <w:bCs/>
          <w:sz w:val="24"/>
          <w:szCs w:val="24"/>
        </w:rPr>
        <w:sectPr w:rsidR="00327169" w:rsidSect="0049273E">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32E4FE48" w14:textId="77777777" w:rsidR="007C4AB6" w:rsidRPr="007C4AB6" w:rsidRDefault="007C4AB6" w:rsidP="007C4AB6">
      <w:pPr>
        <w:spacing w:line="360" w:lineRule="auto"/>
        <w:jc w:val="both"/>
        <w:rPr>
          <w:rFonts w:ascii="Garamond" w:hAnsi="Garamond"/>
          <w:b/>
          <w:bCs/>
          <w:sz w:val="24"/>
          <w:szCs w:val="24"/>
        </w:rPr>
      </w:pPr>
      <w:r w:rsidRPr="007C4AB6">
        <w:rPr>
          <w:rFonts w:ascii="Segoe UI Emoji" w:hAnsi="Segoe UI Emoji" w:cs="Segoe UI Emoji"/>
          <w:b/>
          <w:bCs/>
          <w:sz w:val="24"/>
          <w:szCs w:val="24"/>
        </w:rPr>
        <w:lastRenderedPageBreak/>
        <w:t>🔹</w:t>
      </w:r>
      <w:r w:rsidRPr="007C4AB6">
        <w:rPr>
          <w:rFonts w:ascii="Garamond" w:hAnsi="Garamond"/>
          <w:b/>
          <w:bCs/>
          <w:sz w:val="24"/>
          <w:szCs w:val="24"/>
        </w:rPr>
        <w:t xml:space="preserve"> Public Prosecutor</w:t>
      </w:r>
    </w:p>
    <w:p w14:paraId="15FBF0E4" w14:textId="77777777" w:rsidR="007C4AB6" w:rsidRPr="007C4AB6" w:rsidRDefault="007C4AB6" w:rsidP="007C4AB6">
      <w:pPr>
        <w:numPr>
          <w:ilvl w:val="0"/>
          <w:numId w:val="14"/>
        </w:numPr>
        <w:spacing w:line="360" w:lineRule="auto"/>
        <w:jc w:val="both"/>
        <w:rPr>
          <w:rFonts w:ascii="Garamond" w:hAnsi="Garamond"/>
          <w:sz w:val="24"/>
          <w:szCs w:val="24"/>
        </w:rPr>
      </w:pPr>
      <w:r w:rsidRPr="007C4AB6">
        <w:rPr>
          <w:rFonts w:ascii="Garamond" w:hAnsi="Garamond"/>
          <w:sz w:val="24"/>
          <w:szCs w:val="24"/>
        </w:rPr>
        <w:t>Supervises lawful seizure, extraction, and use of digital evidence</w:t>
      </w:r>
    </w:p>
    <w:p w14:paraId="06C652C4" w14:textId="77777777" w:rsidR="00327169" w:rsidRDefault="007C4AB6" w:rsidP="00327169">
      <w:pPr>
        <w:numPr>
          <w:ilvl w:val="0"/>
          <w:numId w:val="14"/>
        </w:numPr>
        <w:spacing w:line="360" w:lineRule="auto"/>
        <w:jc w:val="both"/>
        <w:rPr>
          <w:rFonts w:ascii="Garamond" w:hAnsi="Garamond"/>
          <w:sz w:val="24"/>
          <w:szCs w:val="24"/>
        </w:rPr>
      </w:pPr>
      <w:r w:rsidRPr="007C4AB6">
        <w:rPr>
          <w:rFonts w:ascii="Garamond" w:hAnsi="Garamond"/>
          <w:sz w:val="24"/>
          <w:szCs w:val="24"/>
        </w:rPr>
        <w:t>Ensures chain of custody and relevance in tria</w:t>
      </w:r>
      <w:r w:rsidR="009533DB">
        <w:rPr>
          <w:rFonts w:ascii="Garamond" w:hAnsi="Garamond"/>
          <w:sz w:val="24"/>
          <w:szCs w:val="24"/>
        </w:rPr>
        <w:t>l.</w:t>
      </w:r>
    </w:p>
    <w:p w14:paraId="52D9FF1D" w14:textId="5AFBBE74" w:rsidR="00327169" w:rsidRPr="00327169" w:rsidRDefault="00327169" w:rsidP="00327169">
      <w:pPr>
        <w:numPr>
          <w:ilvl w:val="0"/>
          <w:numId w:val="14"/>
        </w:numPr>
        <w:spacing w:line="360" w:lineRule="auto"/>
        <w:jc w:val="both"/>
        <w:rPr>
          <w:rFonts w:ascii="Garamond" w:hAnsi="Garamond"/>
          <w:sz w:val="24"/>
          <w:szCs w:val="24"/>
        </w:rPr>
      </w:pPr>
      <w:r w:rsidRPr="00327169">
        <w:rPr>
          <w:rFonts w:ascii="Garamond" w:hAnsi="Garamond"/>
          <w:sz w:val="24"/>
          <w:szCs w:val="24"/>
        </w:rPr>
        <w:t>Issues warrants/orders for data access and removal of illegal content</w:t>
      </w:r>
    </w:p>
    <w:p w14:paraId="101CED94" w14:textId="77777777" w:rsidR="00327169" w:rsidRPr="007C4AB6" w:rsidRDefault="00327169" w:rsidP="00327169">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TDRA (Telecommunications and Digital Government Regulatory Authority)</w:t>
      </w:r>
    </w:p>
    <w:p w14:paraId="40D30BC6" w14:textId="77777777" w:rsidR="00327169" w:rsidRPr="007C4AB6" w:rsidRDefault="00327169" w:rsidP="00327169">
      <w:pPr>
        <w:numPr>
          <w:ilvl w:val="0"/>
          <w:numId w:val="15"/>
        </w:numPr>
        <w:spacing w:line="360" w:lineRule="auto"/>
        <w:jc w:val="both"/>
        <w:rPr>
          <w:rFonts w:ascii="Garamond" w:hAnsi="Garamond"/>
          <w:sz w:val="24"/>
          <w:szCs w:val="24"/>
        </w:rPr>
      </w:pPr>
      <w:r w:rsidRPr="007C4AB6">
        <w:rPr>
          <w:rFonts w:ascii="Garamond" w:hAnsi="Garamond"/>
          <w:sz w:val="24"/>
          <w:szCs w:val="24"/>
        </w:rPr>
        <w:t>Regulates trust services, qualified digital signatures</w:t>
      </w:r>
    </w:p>
    <w:p w14:paraId="7B778FEE" w14:textId="77777777" w:rsidR="00327169" w:rsidRPr="007C4AB6" w:rsidRDefault="00327169" w:rsidP="00327169">
      <w:pPr>
        <w:numPr>
          <w:ilvl w:val="0"/>
          <w:numId w:val="15"/>
        </w:numPr>
        <w:spacing w:line="360" w:lineRule="auto"/>
        <w:jc w:val="both"/>
        <w:rPr>
          <w:rFonts w:ascii="Garamond" w:hAnsi="Garamond"/>
          <w:sz w:val="24"/>
          <w:szCs w:val="24"/>
        </w:rPr>
      </w:pPr>
      <w:r w:rsidRPr="007C4AB6">
        <w:rPr>
          <w:rFonts w:ascii="Garamond" w:hAnsi="Garamond"/>
          <w:sz w:val="24"/>
          <w:szCs w:val="24"/>
        </w:rPr>
        <w:t>Publishes approved electronic trust tools</w:t>
      </w:r>
    </w:p>
    <w:p w14:paraId="34D997F8" w14:textId="77777777" w:rsidR="00327169" w:rsidRPr="007C4AB6" w:rsidRDefault="00327169" w:rsidP="00327169">
      <w:pPr>
        <w:numPr>
          <w:ilvl w:val="0"/>
          <w:numId w:val="15"/>
        </w:numPr>
        <w:spacing w:line="360" w:lineRule="auto"/>
        <w:jc w:val="both"/>
        <w:rPr>
          <w:rFonts w:ascii="Garamond" w:hAnsi="Garamond"/>
          <w:sz w:val="24"/>
          <w:szCs w:val="24"/>
        </w:rPr>
      </w:pPr>
      <w:r w:rsidRPr="007C4AB6">
        <w:rPr>
          <w:rFonts w:ascii="Garamond" w:hAnsi="Garamond"/>
          <w:sz w:val="24"/>
          <w:szCs w:val="24"/>
        </w:rPr>
        <w:t>Issues licenses and enforces compliance standards</w:t>
      </w:r>
    </w:p>
    <w:p w14:paraId="1AA7DE56" w14:textId="77777777" w:rsidR="00327169" w:rsidRPr="007C4AB6" w:rsidRDefault="00327169" w:rsidP="00327169">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Court-Appointed Experts</w:t>
      </w:r>
    </w:p>
    <w:p w14:paraId="35094988" w14:textId="77777777" w:rsidR="00327169" w:rsidRPr="007C4AB6" w:rsidRDefault="00327169" w:rsidP="00327169">
      <w:pPr>
        <w:numPr>
          <w:ilvl w:val="0"/>
          <w:numId w:val="16"/>
        </w:numPr>
        <w:spacing w:line="360" w:lineRule="auto"/>
        <w:jc w:val="both"/>
        <w:rPr>
          <w:rFonts w:ascii="Garamond" w:hAnsi="Garamond"/>
          <w:sz w:val="24"/>
          <w:szCs w:val="24"/>
        </w:rPr>
      </w:pPr>
      <w:r w:rsidRPr="007C4AB6">
        <w:rPr>
          <w:rFonts w:ascii="Garamond" w:hAnsi="Garamond"/>
          <w:sz w:val="24"/>
          <w:szCs w:val="24"/>
        </w:rPr>
        <w:t>Digital forensic professionals may be appointed under Article 53 onwards of the Evidence Law</w:t>
      </w:r>
    </w:p>
    <w:p w14:paraId="4056BA67" w14:textId="77777777" w:rsidR="00327169" w:rsidRPr="007C4AB6" w:rsidRDefault="00327169" w:rsidP="00327169">
      <w:pPr>
        <w:numPr>
          <w:ilvl w:val="0"/>
          <w:numId w:val="16"/>
        </w:numPr>
        <w:spacing w:line="360" w:lineRule="auto"/>
        <w:jc w:val="both"/>
        <w:rPr>
          <w:rFonts w:ascii="Garamond" w:hAnsi="Garamond"/>
          <w:sz w:val="24"/>
          <w:szCs w:val="24"/>
        </w:rPr>
      </w:pPr>
      <w:r w:rsidRPr="007C4AB6">
        <w:rPr>
          <w:rFonts w:ascii="Garamond" w:hAnsi="Garamond"/>
          <w:sz w:val="24"/>
          <w:szCs w:val="24"/>
        </w:rPr>
        <w:t>Provide reports on authenticity, alteration, or source of electronic records</w:t>
      </w:r>
    </w:p>
    <w:p w14:paraId="5A39CCA5" w14:textId="77777777" w:rsidR="00327169" w:rsidRPr="007C4AB6" w:rsidRDefault="00327169" w:rsidP="00327169">
      <w:pPr>
        <w:spacing w:line="360" w:lineRule="auto"/>
        <w:jc w:val="both"/>
        <w:rPr>
          <w:rFonts w:ascii="Garamond" w:hAnsi="Garamond"/>
          <w:sz w:val="24"/>
          <w:szCs w:val="24"/>
        </w:rPr>
      </w:pPr>
      <w:r>
        <w:rPr>
          <w:rFonts w:ascii="Garamond" w:hAnsi="Garamond"/>
          <w:sz w:val="24"/>
          <w:szCs w:val="24"/>
        </w:rPr>
        <w:pict w14:anchorId="4BCEAD45">
          <v:rect id="_x0000_i1042" style="width:0;height:1.5pt" o:hralign="center" o:hrstd="t" o:hr="t" fillcolor="#a0a0a0" stroked="f"/>
        </w:pict>
      </w:r>
    </w:p>
    <w:p w14:paraId="766CBDDD" w14:textId="77777777" w:rsidR="00327169" w:rsidRPr="007C4AB6" w:rsidRDefault="00327169" w:rsidP="00327169">
      <w:pPr>
        <w:spacing w:line="360" w:lineRule="auto"/>
        <w:jc w:val="both"/>
        <w:rPr>
          <w:rFonts w:ascii="Garamond" w:hAnsi="Garamond"/>
          <w:b/>
          <w:bCs/>
          <w:sz w:val="24"/>
          <w:szCs w:val="24"/>
        </w:rPr>
      </w:pPr>
      <w:r w:rsidRPr="007C4AB6">
        <w:rPr>
          <w:rFonts w:ascii="Garamond" w:hAnsi="Garamond"/>
          <w:b/>
          <w:bCs/>
          <w:sz w:val="24"/>
          <w:szCs w:val="24"/>
        </w:rPr>
        <w:t>1.7 Ethical Considerations in Handling Digital Evidence</w:t>
      </w:r>
    </w:p>
    <w:p w14:paraId="44BCC504" w14:textId="77777777" w:rsidR="00327169" w:rsidRPr="007C4AB6" w:rsidRDefault="00327169" w:rsidP="00327169">
      <w:pPr>
        <w:spacing w:line="360" w:lineRule="auto"/>
        <w:jc w:val="both"/>
        <w:rPr>
          <w:rFonts w:ascii="Garamond" w:hAnsi="Garamond"/>
          <w:sz w:val="24"/>
          <w:szCs w:val="24"/>
        </w:rPr>
      </w:pPr>
      <w:r w:rsidRPr="007C4AB6">
        <w:rPr>
          <w:rFonts w:ascii="Garamond" w:hAnsi="Garamond"/>
          <w:sz w:val="24"/>
          <w:szCs w:val="24"/>
        </w:rPr>
        <w:t>Ethical and legal compliance is crucial during collection and analysis:</w:t>
      </w:r>
    </w:p>
    <w:p w14:paraId="18DEFC81" w14:textId="77777777" w:rsidR="00327169" w:rsidRPr="007C4AB6" w:rsidRDefault="00327169" w:rsidP="00327169">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Privacy Rights</w:t>
      </w:r>
    </w:p>
    <w:p w14:paraId="3D89905E" w14:textId="77777777" w:rsidR="00327169" w:rsidRPr="007C4AB6" w:rsidRDefault="00327169" w:rsidP="00327169">
      <w:pPr>
        <w:numPr>
          <w:ilvl w:val="0"/>
          <w:numId w:val="17"/>
        </w:numPr>
        <w:spacing w:line="360" w:lineRule="auto"/>
        <w:jc w:val="both"/>
        <w:rPr>
          <w:rFonts w:ascii="Garamond" w:hAnsi="Garamond"/>
          <w:sz w:val="24"/>
          <w:szCs w:val="24"/>
        </w:rPr>
      </w:pPr>
      <w:r w:rsidRPr="007C4AB6">
        <w:rPr>
          <w:rFonts w:ascii="Garamond" w:hAnsi="Garamond"/>
          <w:sz w:val="24"/>
          <w:szCs w:val="24"/>
        </w:rPr>
        <w:t xml:space="preserve">Investigators must respect </w:t>
      </w:r>
      <w:r w:rsidRPr="007C4AB6">
        <w:rPr>
          <w:rFonts w:ascii="Garamond" w:hAnsi="Garamond"/>
          <w:b/>
          <w:bCs/>
          <w:sz w:val="24"/>
          <w:szCs w:val="24"/>
        </w:rPr>
        <w:t>data protection laws</w:t>
      </w:r>
      <w:r w:rsidRPr="007C4AB6">
        <w:rPr>
          <w:rFonts w:ascii="Garamond" w:hAnsi="Garamond"/>
          <w:sz w:val="24"/>
          <w:szCs w:val="24"/>
        </w:rPr>
        <w:t xml:space="preserve"> and </w:t>
      </w:r>
      <w:r w:rsidRPr="007C4AB6">
        <w:rPr>
          <w:rFonts w:ascii="Garamond" w:hAnsi="Garamond"/>
          <w:b/>
          <w:bCs/>
          <w:sz w:val="24"/>
          <w:szCs w:val="24"/>
        </w:rPr>
        <w:t>personal rights</w:t>
      </w:r>
    </w:p>
    <w:p w14:paraId="61744621" w14:textId="77777777" w:rsidR="00327169" w:rsidRPr="007C4AB6" w:rsidRDefault="00327169" w:rsidP="00327169">
      <w:pPr>
        <w:numPr>
          <w:ilvl w:val="0"/>
          <w:numId w:val="17"/>
        </w:numPr>
        <w:spacing w:line="360" w:lineRule="auto"/>
        <w:jc w:val="both"/>
        <w:rPr>
          <w:rFonts w:ascii="Garamond" w:hAnsi="Garamond"/>
          <w:sz w:val="24"/>
          <w:szCs w:val="24"/>
        </w:rPr>
      </w:pPr>
      <w:r w:rsidRPr="007C4AB6">
        <w:rPr>
          <w:rFonts w:ascii="Garamond" w:hAnsi="Garamond"/>
          <w:sz w:val="24"/>
          <w:szCs w:val="24"/>
        </w:rPr>
        <w:t>Unauthorised surveillance or data access may render evidence inadmissible</w:t>
      </w:r>
    </w:p>
    <w:p w14:paraId="44B353FA" w14:textId="77777777" w:rsidR="00327169" w:rsidRPr="007C4AB6" w:rsidRDefault="00327169" w:rsidP="00327169">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Proportionality</w:t>
      </w:r>
    </w:p>
    <w:p w14:paraId="2EA97E8E" w14:textId="77777777" w:rsidR="00327169" w:rsidRPr="007C4AB6" w:rsidRDefault="00327169" w:rsidP="00327169">
      <w:pPr>
        <w:numPr>
          <w:ilvl w:val="0"/>
          <w:numId w:val="18"/>
        </w:numPr>
        <w:spacing w:line="360" w:lineRule="auto"/>
        <w:jc w:val="both"/>
        <w:rPr>
          <w:rFonts w:ascii="Garamond" w:hAnsi="Garamond"/>
          <w:sz w:val="24"/>
          <w:szCs w:val="24"/>
        </w:rPr>
      </w:pPr>
      <w:r w:rsidRPr="007C4AB6">
        <w:rPr>
          <w:rFonts w:ascii="Garamond" w:hAnsi="Garamond"/>
          <w:sz w:val="24"/>
          <w:szCs w:val="24"/>
        </w:rPr>
        <w:t xml:space="preserve">Seizure must be </w:t>
      </w:r>
      <w:r w:rsidRPr="007C4AB6">
        <w:rPr>
          <w:rFonts w:ascii="Garamond" w:hAnsi="Garamond"/>
          <w:b/>
          <w:bCs/>
          <w:sz w:val="24"/>
          <w:szCs w:val="24"/>
        </w:rPr>
        <w:t>specific to the case</w:t>
      </w:r>
    </w:p>
    <w:p w14:paraId="3768D42B" w14:textId="77777777" w:rsidR="00327169" w:rsidRPr="007C4AB6" w:rsidRDefault="00327169" w:rsidP="00327169">
      <w:pPr>
        <w:numPr>
          <w:ilvl w:val="0"/>
          <w:numId w:val="18"/>
        </w:numPr>
        <w:spacing w:line="360" w:lineRule="auto"/>
        <w:jc w:val="both"/>
        <w:rPr>
          <w:rFonts w:ascii="Garamond" w:hAnsi="Garamond"/>
          <w:sz w:val="24"/>
          <w:szCs w:val="24"/>
        </w:rPr>
      </w:pPr>
      <w:r w:rsidRPr="007C4AB6">
        <w:rPr>
          <w:rFonts w:ascii="Garamond" w:hAnsi="Garamond"/>
          <w:sz w:val="24"/>
          <w:szCs w:val="24"/>
        </w:rPr>
        <w:t>Overcollection may violate privacy and lead to exclusion of evidence</w:t>
      </w:r>
    </w:p>
    <w:p w14:paraId="4BA05381" w14:textId="77777777" w:rsidR="00327169" w:rsidRPr="007C4AB6" w:rsidRDefault="00327169" w:rsidP="00327169">
      <w:pPr>
        <w:spacing w:line="360" w:lineRule="auto"/>
        <w:jc w:val="both"/>
        <w:rPr>
          <w:rFonts w:ascii="Garamond" w:hAnsi="Garamond"/>
          <w:b/>
          <w:bCs/>
          <w:sz w:val="24"/>
          <w:szCs w:val="24"/>
        </w:rPr>
      </w:pPr>
      <w:r w:rsidRPr="007C4AB6">
        <w:rPr>
          <w:rFonts w:ascii="Segoe UI Emoji" w:hAnsi="Segoe UI Emoji" w:cs="Segoe UI Emoji"/>
          <w:b/>
          <w:bCs/>
          <w:sz w:val="24"/>
          <w:szCs w:val="24"/>
        </w:rPr>
        <w:t>✅</w:t>
      </w:r>
      <w:r w:rsidRPr="007C4AB6">
        <w:rPr>
          <w:rFonts w:ascii="Garamond" w:hAnsi="Garamond"/>
          <w:b/>
          <w:bCs/>
          <w:sz w:val="24"/>
          <w:szCs w:val="24"/>
        </w:rPr>
        <w:t xml:space="preserve"> Preservation of Original State</w:t>
      </w:r>
    </w:p>
    <w:p w14:paraId="60B06C8E" w14:textId="77777777" w:rsidR="00327169" w:rsidRPr="007C4AB6" w:rsidRDefault="00327169" w:rsidP="00327169">
      <w:pPr>
        <w:numPr>
          <w:ilvl w:val="0"/>
          <w:numId w:val="19"/>
        </w:numPr>
        <w:spacing w:line="360" w:lineRule="auto"/>
        <w:jc w:val="both"/>
        <w:rPr>
          <w:rFonts w:ascii="Garamond" w:hAnsi="Garamond"/>
          <w:sz w:val="24"/>
          <w:szCs w:val="24"/>
        </w:rPr>
      </w:pPr>
      <w:r w:rsidRPr="007C4AB6">
        <w:rPr>
          <w:rFonts w:ascii="Garamond" w:hAnsi="Garamond"/>
          <w:sz w:val="24"/>
          <w:szCs w:val="24"/>
        </w:rPr>
        <w:t>Evidence must not be altered, tampered, or modified</w:t>
      </w:r>
    </w:p>
    <w:p w14:paraId="3BFE841A" w14:textId="7EE642AD" w:rsidR="00AD00F1" w:rsidRPr="00AD00F1" w:rsidRDefault="00327169" w:rsidP="00327169">
      <w:pPr>
        <w:numPr>
          <w:ilvl w:val="0"/>
          <w:numId w:val="19"/>
        </w:numPr>
        <w:spacing w:line="360" w:lineRule="auto"/>
        <w:jc w:val="both"/>
        <w:rPr>
          <w:rFonts w:ascii="Garamond" w:hAnsi="Garamond"/>
          <w:sz w:val="24"/>
          <w:szCs w:val="24"/>
        </w:rPr>
        <w:sectPr w:rsidR="00AD00F1" w:rsidRPr="00AD00F1" w:rsidSect="00AD00F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r w:rsidRPr="007C4AB6">
        <w:rPr>
          <w:rFonts w:ascii="Garamond" w:hAnsi="Garamond"/>
          <w:sz w:val="24"/>
          <w:szCs w:val="24"/>
        </w:rPr>
        <w:t>Chain of custody must be documented in ful</w:t>
      </w:r>
      <w:r w:rsidR="003B2B2C">
        <w:rPr>
          <w:rFonts w:ascii="Garamond" w:hAnsi="Garamond"/>
          <w:sz w:val="24"/>
          <w:szCs w:val="24"/>
        </w:rPr>
        <w:t>l.</w:t>
      </w:r>
    </w:p>
    <w:p w14:paraId="6B4839D4" w14:textId="2E1EA01B" w:rsidR="00AD00F1" w:rsidRPr="00AD00F1" w:rsidRDefault="00AD00F1" w:rsidP="00AD00F1">
      <w:pPr>
        <w:rPr>
          <w:rFonts w:ascii="Garamond" w:hAnsi="Garamond"/>
          <w:sz w:val="24"/>
          <w:szCs w:val="24"/>
        </w:rPr>
        <w:sectPr w:rsidR="00AD00F1" w:rsidRPr="00AD00F1" w:rsidSect="0049273E">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14:paraId="2A22020B" w14:textId="44A0D69A" w:rsidR="003B2B2C" w:rsidRPr="003B2B2C" w:rsidRDefault="003B2B2C" w:rsidP="003B2B2C">
      <w:pPr>
        <w:tabs>
          <w:tab w:val="left" w:pos="5640"/>
        </w:tabs>
        <w:rPr>
          <w:rFonts w:ascii="Garamond" w:hAnsi="Garamond"/>
          <w:sz w:val="24"/>
          <w:szCs w:val="24"/>
        </w:rPr>
      </w:pPr>
    </w:p>
    <w:sectPr w:rsidR="003B2B2C" w:rsidRPr="003B2B2C" w:rsidSect="0049273E">
      <w:footerReference w:type="firs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A1C84" w14:textId="77777777" w:rsidR="00103E32" w:rsidRDefault="00103E32" w:rsidP="003742C4">
      <w:pPr>
        <w:spacing w:after="0" w:line="240" w:lineRule="auto"/>
      </w:pPr>
      <w:r>
        <w:separator/>
      </w:r>
    </w:p>
  </w:endnote>
  <w:endnote w:type="continuationSeparator" w:id="0">
    <w:p w14:paraId="32B268A7" w14:textId="77777777" w:rsidR="00103E32" w:rsidRDefault="00103E32" w:rsidP="003742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336C" w14:textId="2C1F38F5" w:rsidR="00A92F88" w:rsidRDefault="002F1CC9">
    <w:pPr>
      <w:pStyle w:val="Footer"/>
    </w:pPr>
    <w:r w:rsidRPr="002F1CC9">
      <w:t>Federal Decree-Law No. 35 of 2022 on the Law of Evidence in Civil and Commercial Transactions (UAE), arts  53–64.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19170" w14:textId="755FFFD3" w:rsidR="000C1863" w:rsidRDefault="000C1863">
    <w:pPr>
      <w:pStyle w:val="Footer"/>
    </w:pPr>
  </w:p>
  <w:p w14:paraId="7A2C46F2" w14:textId="066F993F" w:rsidR="002F1CC9" w:rsidRDefault="002F1C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9DBB1" w14:textId="27740325" w:rsidR="000C1863" w:rsidRDefault="00B5137F">
    <w:pPr>
      <w:pStyle w:val="Footer"/>
    </w:pPr>
    <w:r w:rsidRPr="00B5137F">
      <w:t>Federal Decree-Law No. 35 of 2022 on the Law of Evidence in Civil and Commercial Transactions (UAE), art 53–64.</w:t>
    </w:r>
  </w:p>
  <w:p w14:paraId="4550DD84" w14:textId="09193788" w:rsidR="00B5137F" w:rsidRDefault="003A4302">
    <w:pPr>
      <w:pStyle w:val="Footer"/>
    </w:pPr>
    <w:r w:rsidRPr="003A4302">
      <w:t xml:space="preserve">Federal Decree-Law No. 46 of 2021 on Electronic Transactions and Trust Services (UAE), </w:t>
    </w:r>
    <w:proofErr w:type="spellStart"/>
    <w:r w:rsidRPr="003A4302">
      <w:t>esp</w:t>
    </w:r>
    <w:proofErr w:type="spellEnd"/>
    <w:r w:rsidRPr="003A4302">
      <w:t xml:space="preserve"> art</w:t>
    </w:r>
    <w:r w:rsidR="006B4A9A">
      <w:t xml:space="preserve"> </w:t>
    </w:r>
    <w:r w:rsidRPr="003A4302">
      <w:t>5–11.</w:t>
    </w:r>
  </w:p>
  <w:p w14:paraId="296DDCDC" w14:textId="039D8C80" w:rsidR="000C1863" w:rsidRDefault="000C18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31170" w14:textId="2E4B850F" w:rsidR="004E13E7" w:rsidRDefault="004E13E7">
    <w:pPr>
      <w:pStyle w:val="Footer"/>
    </w:pPr>
    <w:r w:rsidRPr="004E13E7">
      <w:t xml:space="preserve">Federal Decree-Law No. 34 of 2021 on Combatting </w:t>
    </w:r>
    <w:proofErr w:type="spellStart"/>
    <w:r w:rsidRPr="004E13E7">
      <w:t>Rumors</w:t>
    </w:r>
    <w:proofErr w:type="spellEnd"/>
    <w:r w:rsidRPr="004E13E7">
      <w:t xml:space="preserve"> and Cybercrimes (UAE), arts 2–5.</w:t>
    </w:r>
  </w:p>
  <w:p w14:paraId="0150BB5F" w14:textId="392A55F1" w:rsidR="004E13E7" w:rsidRDefault="00F74FB3">
    <w:pPr>
      <w:pStyle w:val="Footer"/>
    </w:pPr>
    <w:r w:rsidRPr="00F74FB3">
      <w:t>DIFC Law No. 5 of 2020 (Data Protection Law), applicable in DIFC jurisdiction.</w:t>
    </w:r>
  </w:p>
  <w:p w14:paraId="4CAD3B99" w14:textId="7B07B5B6" w:rsidR="00F74FB3" w:rsidRDefault="00F74FB3">
    <w:pPr>
      <w:pStyle w:val="Footer"/>
    </w:pPr>
    <w:r w:rsidRPr="00F74FB3">
      <w:t>UAE Penal Code (Federal Law No. 31 of 2021), read with Criminal Procedure Code (Federal Decree-Law No. 38 of 2022).</w:t>
    </w:r>
  </w:p>
  <w:p w14:paraId="77158273" w14:textId="60F3D685" w:rsidR="006B4A9A" w:rsidRDefault="006B4A9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0EA4C" w14:textId="77777777" w:rsidR="00AD00F1" w:rsidRDefault="00AD00F1">
    <w:pPr>
      <w:pStyle w:val="Footer"/>
    </w:pPr>
  </w:p>
  <w:p w14:paraId="2059522F" w14:textId="77777777" w:rsidR="00AD00F1" w:rsidRDefault="00AD00F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DEC99" w14:textId="787D3AAD" w:rsidR="00327169" w:rsidRDefault="00327169">
    <w:pPr>
      <w:pStyle w:val="Footer"/>
    </w:pPr>
  </w:p>
  <w:p w14:paraId="034A9170" w14:textId="77777777" w:rsidR="00327169" w:rsidRDefault="0032716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C3323" w14:textId="6150D813" w:rsidR="006B4A9A" w:rsidRDefault="006B4A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4CEFB" w14:textId="77777777" w:rsidR="00103E32" w:rsidRDefault="00103E32" w:rsidP="003742C4">
      <w:pPr>
        <w:spacing w:after="0" w:line="240" w:lineRule="auto"/>
      </w:pPr>
      <w:r>
        <w:separator/>
      </w:r>
    </w:p>
  </w:footnote>
  <w:footnote w:type="continuationSeparator" w:id="0">
    <w:p w14:paraId="3395D0FB" w14:textId="77777777" w:rsidR="00103E32" w:rsidRDefault="00103E32" w:rsidP="003742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190F"/>
    <w:multiLevelType w:val="multilevel"/>
    <w:tmpl w:val="182C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661A"/>
    <w:multiLevelType w:val="multilevel"/>
    <w:tmpl w:val="7D1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D048D"/>
    <w:multiLevelType w:val="multilevel"/>
    <w:tmpl w:val="85F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A06F9"/>
    <w:multiLevelType w:val="multilevel"/>
    <w:tmpl w:val="7DC6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D4421"/>
    <w:multiLevelType w:val="multilevel"/>
    <w:tmpl w:val="D33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30696"/>
    <w:multiLevelType w:val="multilevel"/>
    <w:tmpl w:val="BF0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73FB5"/>
    <w:multiLevelType w:val="multilevel"/>
    <w:tmpl w:val="8B5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836C2"/>
    <w:multiLevelType w:val="multilevel"/>
    <w:tmpl w:val="CBD8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B528C"/>
    <w:multiLevelType w:val="multilevel"/>
    <w:tmpl w:val="033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B0AA1"/>
    <w:multiLevelType w:val="multilevel"/>
    <w:tmpl w:val="EF76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CB25D3"/>
    <w:multiLevelType w:val="multilevel"/>
    <w:tmpl w:val="990C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501CD"/>
    <w:multiLevelType w:val="multilevel"/>
    <w:tmpl w:val="6394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56260D"/>
    <w:multiLevelType w:val="multilevel"/>
    <w:tmpl w:val="DCF2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223A5"/>
    <w:multiLevelType w:val="multilevel"/>
    <w:tmpl w:val="4780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193411"/>
    <w:multiLevelType w:val="multilevel"/>
    <w:tmpl w:val="483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9009C"/>
    <w:multiLevelType w:val="multilevel"/>
    <w:tmpl w:val="2C4A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B4C24"/>
    <w:multiLevelType w:val="multilevel"/>
    <w:tmpl w:val="AC4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30604"/>
    <w:multiLevelType w:val="multilevel"/>
    <w:tmpl w:val="E6F6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C52BB4"/>
    <w:multiLevelType w:val="multilevel"/>
    <w:tmpl w:val="BFD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E0244"/>
    <w:multiLevelType w:val="multilevel"/>
    <w:tmpl w:val="AC4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353934">
    <w:abstractNumId w:val="0"/>
  </w:num>
  <w:num w:numId="2" w16cid:durableId="918250086">
    <w:abstractNumId w:val="10"/>
  </w:num>
  <w:num w:numId="3" w16cid:durableId="1478885706">
    <w:abstractNumId w:val="9"/>
  </w:num>
  <w:num w:numId="4" w16cid:durableId="1075321739">
    <w:abstractNumId w:val="5"/>
  </w:num>
  <w:num w:numId="5" w16cid:durableId="760294345">
    <w:abstractNumId w:val="16"/>
  </w:num>
  <w:num w:numId="6" w16cid:durableId="2113357925">
    <w:abstractNumId w:val="17"/>
  </w:num>
  <w:num w:numId="7" w16cid:durableId="1310288617">
    <w:abstractNumId w:val="3"/>
  </w:num>
  <w:num w:numId="8" w16cid:durableId="71389327">
    <w:abstractNumId w:val="6"/>
  </w:num>
  <w:num w:numId="9" w16cid:durableId="429591917">
    <w:abstractNumId w:val="12"/>
  </w:num>
  <w:num w:numId="10" w16cid:durableId="772555853">
    <w:abstractNumId w:val="8"/>
  </w:num>
  <w:num w:numId="11" w16cid:durableId="218328750">
    <w:abstractNumId w:val="18"/>
  </w:num>
  <w:num w:numId="12" w16cid:durableId="1755081081">
    <w:abstractNumId w:val="14"/>
  </w:num>
  <w:num w:numId="13" w16cid:durableId="1132359854">
    <w:abstractNumId w:val="11"/>
  </w:num>
  <w:num w:numId="14" w16cid:durableId="908349925">
    <w:abstractNumId w:val="4"/>
  </w:num>
  <w:num w:numId="15" w16cid:durableId="1934196079">
    <w:abstractNumId w:val="1"/>
  </w:num>
  <w:num w:numId="16" w16cid:durableId="763956814">
    <w:abstractNumId w:val="15"/>
  </w:num>
  <w:num w:numId="17" w16cid:durableId="1433933195">
    <w:abstractNumId w:val="2"/>
  </w:num>
  <w:num w:numId="18" w16cid:durableId="1394351717">
    <w:abstractNumId w:val="7"/>
  </w:num>
  <w:num w:numId="19" w16cid:durableId="1195269419">
    <w:abstractNumId w:val="13"/>
  </w:num>
  <w:num w:numId="20" w16cid:durableId="16633111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B6"/>
    <w:rsid w:val="000962CC"/>
    <w:rsid w:val="000C1863"/>
    <w:rsid w:val="000D2DA0"/>
    <w:rsid w:val="00103E32"/>
    <w:rsid w:val="00176500"/>
    <w:rsid w:val="001C79C8"/>
    <w:rsid w:val="00290E59"/>
    <w:rsid w:val="002F1CC9"/>
    <w:rsid w:val="00327169"/>
    <w:rsid w:val="003664DC"/>
    <w:rsid w:val="003742C4"/>
    <w:rsid w:val="003A4302"/>
    <w:rsid w:val="003B2B2C"/>
    <w:rsid w:val="00433E1A"/>
    <w:rsid w:val="0049273E"/>
    <w:rsid w:val="004B1D6C"/>
    <w:rsid w:val="004E13E7"/>
    <w:rsid w:val="005332B0"/>
    <w:rsid w:val="00552252"/>
    <w:rsid w:val="006B4A9A"/>
    <w:rsid w:val="006E287C"/>
    <w:rsid w:val="006E70F1"/>
    <w:rsid w:val="00703D1D"/>
    <w:rsid w:val="007C4AB6"/>
    <w:rsid w:val="009533DB"/>
    <w:rsid w:val="009D2FEF"/>
    <w:rsid w:val="00A15607"/>
    <w:rsid w:val="00A360A4"/>
    <w:rsid w:val="00A42F84"/>
    <w:rsid w:val="00A44103"/>
    <w:rsid w:val="00A444C4"/>
    <w:rsid w:val="00A447FC"/>
    <w:rsid w:val="00A92F88"/>
    <w:rsid w:val="00AD00F1"/>
    <w:rsid w:val="00B01374"/>
    <w:rsid w:val="00B5137F"/>
    <w:rsid w:val="00B6092C"/>
    <w:rsid w:val="00C46AB3"/>
    <w:rsid w:val="00D31556"/>
    <w:rsid w:val="00E90D8F"/>
    <w:rsid w:val="00F74FB3"/>
    <w:rsid w:val="00FB2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8D468"/>
  <w15:chartTrackingRefBased/>
  <w15:docId w15:val="{F6682E7A-7D78-4048-916E-00796879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9C8"/>
    <w:rPr>
      <w:color w:val="0563C1" w:themeColor="hyperlink"/>
      <w:u w:val="single"/>
    </w:rPr>
  </w:style>
  <w:style w:type="character" w:styleId="UnresolvedMention">
    <w:name w:val="Unresolved Mention"/>
    <w:basedOn w:val="DefaultParagraphFont"/>
    <w:uiPriority w:val="99"/>
    <w:semiHidden/>
    <w:unhideWhenUsed/>
    <w:rsid w:val="001C79C8"/>
    <w:rPr>
      <w:color w:val="605E5C"/>
      <w:shd w:val="clear" w:color="auto" w:fill="E1DFDD"/>
    </w:rPr>
  </w:style>
  <w:style w:type="paragraph" w:styleId="Header">
    <w:name w:val="header"/>
    <w:basedOn w:val="Normal"/>
    <w:link w:val="HeaderChar"/>
    <w:uiPriority w:val="99"/>
    <w:unhideWhenUsed/>
    <w:rsid w:val="003742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2C4"/>
  </w:style>
  <w:style w:type="paragraph" w:styleId="Footer">
    <w:name w:val="footer"/>
    <w:basedOn w:val="Normal"/>
    <w:link w:val="FooterChar"/>
    <w:uiPriority w:val="99"/>
    <w:unhideWhenUsed/>
    <w:rsid w:val="003742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2C4"/>
  </w:style>
  <w:style w:type="paragraph" w:styleId="ListParagraph">
    <w:name w:val="List Paragraph"/>
    <w:basedOn w:val="Normal"/>
    <w:uiPriority w:val="34"/>
    <w:qFormat/>
    <w:rsid w:val="009D2F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171144">
      <w:bodyDiv w:val="1"/>
      <w:marLeft w:val="0"/>
      <w:marRight w:val="0"/>
      <w:marTop w:val="0"/>
      <w:marBottom w:val="0"/>
      <w:divBdr>
        <w:top w:val="none" w:sz="0" w:space="0" w:color="auto"/>
        <w:left w:val="none" w:sz="0" w:space="0" w:color="auto"/>
        <w:bottom w:val="none" w:sz="0" w:space="0" w:color="auto"/>
        <w:right w:val="none" w:sz="0" w:space="0" w:color="auto"/>
      </w:divBdr>
      <w:divsChild>
        <w:div w:id="126985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17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265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245669">
      <w:bodyDiv w:val="1"/>
      <w:marLeft w:val="0"/>
      <w:marRight w:val="0"/>
      <w:marTop w:val="0"/>
      <w:marBottom w:val="0"/>
      <w:divBdr>
        <w:top w:val="none" w:sz="0" w:space="0" w:color="auto"/>
        <w:left w:val="none" w:sz="0" w:space="0" w:color="auto"/>
        <w:bottom w:val="none" w:sz="0" w:space="0" w:color="auto"/>
        <w:right w:val="none" w:sz="0" w:space="0" w:color="auto"/>
      </w:divBdr>
      <w:divsChild>
        <w:div w:id="10258600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14792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493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Dubai_International_Financial_Centre"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913</Words>
  <Characters>5205</Characters>
  <Application>Microsoft Office Word</Application>
  <DocSecurity>0</DocSecurity>
  <Lines>43</Lines>
  <Paragraphs>12</Paragraphs>
  <ScaleCrop>false</ScaleCrop>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Shah</dc:creator>
  <cp:keywords/>
  <dc:description/>
  <cp:lastModifiedBy>Nidhi Shah</cp:lastModifiedBy>
  <cp:revision>37</cp:revision>
  <dcterms:created xsi:type="dcterms:W3CDTF">2025-04-30T18:54:00Z</dcterms:created>
  <dcterms:modified xsi:type="dcterms:W3CDTF">2025-05-01T06:55:00Z</dcterms:modified>
</cp:coreProperties>
</file>