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8C9EA" w14:textId="1FB92B4E" w:rsidR="00AB42DE" w:rsidRPr="00194005" w:rsidRDefault="000E0291" w:rsidP="00AB42DE">
      <w:pPr>
        <w:jc w:val="center"/>
        <w:rPr>
          <w:rFonts w:ascii="Times New Roman" w:hAnsi="Times New Roman" w:cs="Times New Roman"/>
          <w:b/>
          <w:bCs/>
          <w:sz w:val="32"/>
          <w:szCs w:val="32"/>
        </w:rPr>
      </w:pPr>
      <w:r>
        <w:rPr>
          <w:rStyle w:val="FootnoteReference"/>
          <w:rFonts w:ascii="Times New Roman" w:hAnsi="Times New Roman" w:cs="Times New Roman"/>
          <w:b/>
          <w:bCs/>
          <w:sz w:val="32"/>
          <w:szCs w:val="32"/>
        </w:rPr>
        <w:footnoteReference w:id="1"/>
      </w:r>
      <w:r w:rsidR="00AB42DE" w:rsidRPr="00194005">
        <w:rPr>
          <w:rFonts w:ascii="Times New Roman" w:hAnsi="Times New Roman" w:cs="Times New Roman"/>
          <w:b/>
          <w:bCs/>
          <w:sz w:val="32"/>
          <w:szCs w:val="32"/>
        </w:rPr>
        <w:t>Part 2: Search &amp; Seizure of Electronic Evidence (UAE)</w:t>
      </w:r>
    </w:p>
    <w:p w14:paraId="13C6EB81"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The investigation of cybercrimes in the UAE requires a legally compliant and carefully structured process for the search and seizure of electronic evidence. This part of the manual outlines the procedural framework, legal backing, and practical steps to ensure that all actions are in line with applicable UAE laws, including Federal Decree-Law No. 35 of 2022 (Criminal Procedure), Federal Decree-Law No. 34 of 2021 (Combating </w:t>
      </w:r>
      <w:proofErr w:type="spellStart"/>
      <w:r w:rsidRPr="00194005">
        <w:rPr>
          <w:rFonts w:ascii="Times New Roman" w:hAnsi="Times New Roman" w:cs="Times New Roman"/>
          <w:sz w:val="32"/>
          <w:szCs w:val="32"/>
        </w:rPr>
        <w:t>Rumors</w:t>
      </w:r>
      <w:proofErr w:type="spellEnd"/>
      <w:r w:rsidRPr="00194005">
        <w:rPr>
          <w:rFonts w:ascii="Times New Roman" w:hAnsi="Times New Roman" w:cs="Times New Roman"/>
          <w:sz w:val="32"/>
          <w:szCs w:val="32"/>
        </w:rPr>
        <w:t xml:space="preserve"> and Cybercrime), and other relevant regulations. The primary goal is to ensure that electronic evidence is not only collected effectively but also remains admissible, authentic, and untampered throughout the legal process.</w:t>
      </w:r>
    </w:p>
    <w:p w14:paraId="51457101"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2D77EAA0">
          <v:rect id="_x0000_i1025" alt="" style="width:435.25pt;height:.05pt;mso-width-percent:0;mso-height-percent:0;mso-width-percent:0;mso-height-percent:0" o:hrpct="930" o:hralign="center" o:hrstd="t" o:hr="t" fillcolor="#a0a0a0" stroked="f"/>
        </w:pict>
      </w:r>
    </w:p>
    <w:p w14:paraId="1E27B97F" w14:textId="12806332"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1. Legal Framework for Search &amp; Seizure : </w:t>
      </w:r>
    </w:p>
    <w:p w14:paraId="2CE80816" w14:textId="1F637935"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The legal authority to conduct search and seizure operations in cybercrime cases in the United Arab Emirates (UAE) is firmly rooted in </w:t>
      </w:r>
      <w:r w:rsidRPr="00194005">
        <w:rPr>
          <w:rFonts w:ascii="Times New Roman" w:hAnsi="Times New Roman" w:cs="Times New Roman"/>
          <w:b/>
          <w:bCs/>
          <w:sz w:val="32"/>
          <w:szCs w:val="32"/>
        </w:rPr>
        <w:t>Federal Decree-Law No. 35 of 2022</w:t>
      </w:r>
      <w:r w:rsidRPr="00194005">
        <w:rPr>
          <w:rFonts w:ascii="Times New Roman" w:hAnsi="Times New Roman" w:cs="Times New Roman"/>
          <w:sz w:val="32"/>
          <w:szCs w:val="32"/>
        </w:rPr>
        <w:t xml:space="preserve"> on the </w:t>
      </w:r>
      <w:r w:rsidRPr="00194005">
        <w:rPr>
          <w:rFonts w:ascii="Times New Roman" w:hAnsi="Times New Roman" w:cs="Times New Roman"/>
          <w:b/>
          <w:bCs/>
          <w:sz w:val="32"/>
          <w:szCs w:val="32"/>
        </w:rPr>
        <w:t>Criminal Procedure Law</w:t>
      </w:r>
      <w:r w:rsidRPr="00194005">
        <w:rPr>
          <w:rFonts w:ascii="Times New Roman" w:hAnsi="Times New Roman" w:cs="Times New Roman"/>
          <w:sz w:val="32"/>
          <w:szCs w:val="32"/>
        </w:rPr>
        <w:t xml:space="preserve">, and is further supported by </w:t>
      </w:r>
      <w:r w:rsidRPr="00194005">
        <w:rPr>
          <w:rFonts w:ascii="Times New Roman" w:hAnsi="Times New Roman" w:cs="Times New Roman"/>
          <w:b/>
          <w:bCs/>
          <w:sz w:val="32"/>
          <w:szCs w:val="32"/>
        </w:rPr>
        <w:t>Federal Decree-Law No. 34 of 2021</w:t>
      </w:r>
      <w:r w:rsidRPr="00194005">
        <w:rPr>
          <w:rFonts w:ascii="Times New Roman" w:hAnsi="Times New Roman" w:cs="Times New Roman"/>
          <w:sz w:val="32"/>
          <w:szCs w:val="32"/>
        </w:rPr>
        <w:t xml:space="preserve"> concerning </w:t>
      </w:r>
      <w:r w:rsidRPr="00194005">
        <w:rPr>
          <w:rFonts w:ascii="Times New Roman" w:hAnsi="Times New Roman" w:cs="Times New Roman"/>
          <w:b/>
          <w:bCs/>
          <w:sz w:val="32"/>
          <w:szCs w:val="32"/>
        </w:rPr>
        <w:t xml:space="preserve">Combating </w:t>
      </w:r>
      <w:proofErr w:type="spellStart"/>
      <w:r w:rsidRPr="00194005">
        <w:rPr>
          <w:rFonts w:ascii="Times New Roman" w:hAnsi="Times New Roman" w:cs="Times New Roman"/>
          <w:b/>
          <w:bCs/>
          <w:sz w:val="32"/>
          <w:szCs w:val="32"/>
        </w:rPr>
        <w:t>Rumors</w:t>
      </w:r>
      <w:proofErr w:type="spellEnd"/>
      <w:r w:rsidRPr="00194005">
        <w:rPr>
          <w:rFonts w:ascii="Times New Roman" w:hAnsi="Times New Roman" w:cs="Times New Roman"/>
          <w:b/>
          <w:bCs/>
          <w:sz w:val="32"/>
          <w:szCs w:val="32"/>
        </w:rPr>
        <w:t xml:space="preserve"> and Cybercrimes</w:t>
      </w:r>
      <w:r w:rsidRPr="00194005">
        <w:rPr>
          <w:rFonts w:ascii="Times New Roman" w:hAnsi="Times New Roman" w:cs="Times New Roman"/>
          <w:sz w:val="32"/>
          <w:szCs w:val="32"/>
        </w:rPr>
        <w:t>. These laws outline the boundaries, procedures, and safeguards that investigators must adhere to when handling digital evidence.</w:t>
      </w:r>
    </w:p>
    <w:p w14:paraId="5C8B0464"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A. Search and Seizure under Federal Decree-Law No. 35 of 2022 (Criminal Procedure Law)</w:t>
      </w:r>
    </w:p>
    <w:p w14:paraId="5C344658"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lastRenderedPageBreak/>
        <w:t xml:space="preserve">This law forms the </w:t>
      </w:r>
      <w:r w:rsidRPr="00194005">
        <w:rPr>
          <w:rFonts w:ascii="Times New Roman" w:hAnsi="Times New Roman" w:cs="Times New Roman"/>
          <w:b/>
          <w:bCs/>
          <w:sz w:val="32"/>
          <w:szCs w:val="32"/>
        </w:rPr>
        <w:t>backbone of procedural safeguards</w:t>
      </w:r>
      <w:r w:rsidRPr="00194005">
        <w:rPr>
          <w:rFonts w:ascii="Times New Roman" w:hAnsi="Times New Roman" w:cs="Times New Roman"/>
          <w:sz w:val="32"/>
          <w:szCs w:val="32"/>
        </w:rPr>
        <w:t xml:space="preserve"> for criminal investigations, including those related to cyber offenses. Search and seizure powers are governed by several key provisions, primarily aimed at </w:t>
      </w:r>
      <w:r w:rsidRPr="00194005">
        <w:rPr>
          <w:rFonts w:ascii="Times New Roman" w:hAnsi="Times New Roman" w:cs="Times New Roman"/>
          <w:b/>
          <w:bCs/>
          <w:sz w:val="32"/>
          <w:szCs w:val="32"/>
        </w:rPr>
        <w:t>protecting individual rights while enabling effective law enforcement</w:t>
      </w:r>
      <w:r w:rsidRPr="00194005">
        <w:rPr>
          <w:rFonts w:ascii="Times New Roman" w:hAnsi="Times New Roman" w:cs="Times New Roman"/>
          <w:sz w:val="32"/>
          <w:szCs w:val="32"/>
        </w:rPr>
        <w:t>.</w:t>
      </w:r>
    </w:p>
    <w:p w14:paraId="5C7B8BE3"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Judicial Oversight and Warrant Requirement (Article 45 &amp; 46)</w:t>
      </w:r>
      <w:r w:rsidRPr="00194005">
        <w:rPr>
          <w:rFonts w:ascii="Times New Roman" w:hAnsi="Times New Roman" w:cs="Times New Roman"/>
          <w:sz w:val="32"/>
          <w:szCs w:val="32"/>
        </w:rPr>
        <w:br/>
        <w:t xml:space="preserve">Before any search or seizure is conducted, investigators must obtain </w:t>
      </w:r>
      <w:r w:rsidRPr="00194005">
        <w:rPr>
          <w:rFonts w:ascii="Times New Roman" w:hAnsi="Times New Roman" w:cs="Times New Roman"/>
          <w:b/>
          <w:bCs/>
          <w:sz w:val="32"/>
          <w:szCs w:val="32"/>
        </w:rPr>
        <w:t>authorization from the Public Prosecution</w:t>
      </w:r>
      <w:r w:rsidRPr="00194005">
        <w:rPr>
          <w:rFonts w:ascii="Times New Roman" w:hAnsi="Times New Roman" w:cs="Times New Roman"/>
          <w:sz w:val="32"/>
          <w:szCs w:val="32"/>
        </w:rPr>
        <w:t xml:space="preserve"> or a </w:t>
      </w:r>
      <w:r w:rsidRPr="00194005">
        <w:rPr>
          <w:rFonts w:ascii="Times New Roman" w:hAnsi="Times New Roman" w:cs="Times New Roman"/>
          <w:b/>
          <w:bCs/>
          <w:sz w:val="32"/>
          <w:szCs w:val="32"/>
        </w:rPr>
        <w:t>competent judicial authority</w:t>
      </w:r>
      <w:r w:rsidRPr="00194005">
        <w:rPr>
          <w:rFonts w:ascii="Times New Roman" w:hAnsi="Times New Roman" w:cs="Times New Roman"/>
          <w:sz w:val="32"/>
          <w:szCs w:val="32"/>
        </w:rPr>
        <w:t>, except in exceptional circumstances (e.g., when a suspect is caught in the act—</w:t>
      </w:r>
      <w:r w:rsidRPr="00194005">
        <w:rPr>
          <w:rFonts w:ascii="Times New Roman" w:hAnsi="Times New Roman" w:cs="Times New Roman"/>
          <w:i/>
          <w:iCs/>
          <w:sz w:val="32"/>
          <w:szCs w:val="32"/>
        </w:rPr>
        <w:t>flagrante delicto</w:t>
      </w:r>
      <w:r w:rsidRPr="00194005">
        <w:rPr>
          <w:rFonts w:ascii="Times New Roman" w:hAnsi="Times New Roman" w:cs="Times New Roman"/>
          <w:sz w:val="32"/>
          <w:szCs w:val="32"/>
        </w:rPr>
        <w:t>).</w:t>
      </w:r>
    </w:p>
    <w:p w14:paraId="0AB26F37" w14:textId="77777777" w:rsidR="00AB42DE" w:rsidRPr="00194005" w:rsidRDefault="00AB42DE" w:rsidP="00AB42DE">
      <w:pPr>
        <w:numPr>
          <w:ilvl w:val="0"/>
          <w:numId w:val="14"/>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Article 46(1)</w:t>
      </w:r>
      <w:r w:rsidRPr="00194005">
        <w:rPr>
          <w:rFonts w:ascii="Times New Roman" w:hAnsi="Times New Roman" w:cs="Times New Roman"/>
          <w:sz w:val="32"/>
          <w:szCs w:val="32"/>
        </w:rPr>
        <w:t xml:space="preserve"> states that searches must be limited to the </w:t>
      </w:r>
      <w:r w:rsidRPr="00194005">
        <w:rPr>
          <w:rFonts w:ascii="Times New Roman" w:hAnsi="Times New Roman" w:cs="Times New Roman"/>
          <w:b/>
          <w:bCs/>
          <w:sz w:val="32"/>
          <w:szCs w:val="32"/>
        </w:rPr>
        <w:t>objects or persons specified</w:t>
      </w:r>
      <w:r w:rsidRPr="00194005">
        <w:rPr>
          <w:rFonts w:ascii="Times New Roman" w:hAnsi="Times New Roman" w:cs="Times New Roman"/>
          <w:sz w:val="32"/>
          <w:szCs w:val="32"/>
        </w:rPr>
        <w:t xml:space="preserve"> in the judicial order. This ensures that digital searches do not become fishing expeditions.</w:t>
      </w:r>
    </w:p>
    <w:p w14:paraId="7A614C18" w14:textId="77777777" w:rsidR="00AB42DE" w:rsidRPr="00194005" w:rsidRDefault="00AB42DE" w:rsidP="00AB42DE">
      <w:pPr>
        <w:numPr>
          <w:ilvl w:val="0"/>
          <w:numId w:val="14"/>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Article 46(2)</w:t>
      </w:r>
      <w:r w:rsidRPr="00194005">
        <w:rPr>
          <w:rFonts w:ascii="Times New Roman" w:hAnsi="Times New Roman" w:cs="Times New Roman"/>
          <w:sz w:val="32"/>
          <w:szCs w:val="32"/>
        </w:rPr>
        <w:t xml:space="preserve"> is especially critical for cybercrime investigations. It mandates that if the search involves </w:t>
      </w:r>
      <w:r w:rsidRPr="00194005">
        <w:rPr>
          <w:rFonts w:ascii="Times New Roman" w:hAnsi="Times New Roman" w:cs="Times New Roman"/>
          <w:b/>
          <w:bCs/>
          <w:sz w:val="32"/>
          <w:szCs w:val="32"/>
        </w:rPr>
        <w:t>electronic devices or digital systems</w:t>
      </w:r>
      <w:r w:rsidRPr="00194005">
        <w:rPr>
          <w:rFonts w:ascii="Times New Roman" w:hAnsi="Times New Roman" w:cs="Times New Roman"/>
          <w:sz w:val="32"/>
          <w:szCs w:val="32"/>
        </w:rPr>
        <w:t>, the process must:</w:t>
      </w:r>
    </w:p>
    <w:p w14:paraId="01B140FD" w14:textId="77777777" w:rsidR="00AB42DE" w:rsidRPr="00194005" w:rsidRDefault="00AB42DE" w:rsidP="00AB42DE">
      <w:pPr>
        <w:numPr>
          <w:ilvl w:val="1"/>
          <w:numId w:val="14"/>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Be done in a </w:t>
      </w:r>
      <w:r w:rsidRPr="00194005">
        <w:rPr>
          <w:rFonts w:ascii="Times New Roman" w:hAnsi="Times New Roman" w:cs="Times New Roman"/>
          <w:b/>
          <w:bCs/>
          <w:sz w:val="32"/>
          <w:szCs w:val="32"/>
        </w:rPr>
        <w:t>manner that does not affect the stored data</w:t>
      </w:r>
    </w:p>
    <w:p w14:paraId="0816DE97" w14:textId="77777777" w:rsidR="00AB42DE" w:rsidRPr="00194005" w:rsidRDefault="00AB42DE" w:rsidP="00AB42DE">
      <w:pPr>
        <w:numPr>
          <w:ilvl w:val="1"/>
          <w:numId w:val="14"/>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Preserve the integrity and authenticity</w:t>
      </w:r>
      <w:r w:rsidRPr="00194005">
        <w:rPr>
          <w:rFonts w:ascii="Times New Roman" w:hAnsi="Times New Roman" w:cs="Times New Roman"/>
          <w:sz w:val="32"/>
          <w:szCs w:val="32"/>
        </w:rPr>
        <w:t xml:space="preserve"> of the information</w:t>
      </w:r>
    </w:p>
    <w:p w14:paraId="7065EE91" w14:textId="77777777" w:rsidR="00AB42DE" w:rsidRPr="00194005" w:rsidRDefault="00AB42DE" w:rsidP="00AB42DE">
      <w:pPr>
        <w:numPr>
          <w:ilvl w:val="1"/>
          <w:numId w:val="14"/>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Be </w:t>
      </w:r>
      <w:r w:rsidRPr="00194005">
        <w:rPr>
          <w:rFonts w:ascii="Times New Roman" w:hAnsi="Times New Roman" w:cs="Times New Roman"/>
          <w:b/>
          <w:bCs/>
          <w:sz w:val="32"/>
          <w:szCs w:val="32"/>
        </w:rPr>
        <w:t>documented accurately</w:t>
      </w:r>
      <w:r w:rsidRPr="00194005">
        <w:rPr>
          <w:rFonts w:ascii="Times New Roman" w:hAnsi="Times New Roman" w:cs="Times New Roman"/>
          <w:sz w:val="32"/>
          <w:szCs w:val="32"/>
        </w:rPr>
        <w:t>, including the method used to access or retrieve data</w:t>
      </w:r>
    </w:p>
    <w:p w14:paraId="117E2BDA" w14:textId="2933E89E"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lastRenderedPageBreak/>
        <w:t>⚖️</w:t>
      </w:r>
      <w:r w:rsidRPr="00194005">
        <w:rPr>
          <w:rFonts w:ascii="Times New Roman" w:hAnsi="Times New Roman" w:cs="Times New Roman"/>
          <w:b/>
          <w:bCs/>
          <w:i/>
          <w:iCs/>
          <w:sz w:val="32"/>
          <w:szCs w:val="32"/>
        </w:rPr>
        <w:t xml:space="preserve"> This provision directly addresses the need for forensic soundness in digital evidence handling, ensuring that data remains admissible in court.</w:t>
      </w:r>
      <w:r w:rsidR="000E0291">
        <w:rPr>
          <w:rStyle w:val="FootnoteReference"/>
          <w:rFonts w:ascii="Times New Roman" w:hAnsi="Times New Roman" w:cs="Times New Roman"/>
          <w:b/>
          <w:bCs/>
          <w:i/>
          <w:iCs/>
          <w:sz w:val="32"/>
          <w:szCs w:val="32"/>
        </w:rPr>
        <w:footnoteReference w:id="2"/>
      </w:r>
    </w:p>
    <w:p w14:paraId="30650637"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36B5B0CE">
          <v:rect id="_x0000_i1026" alt="" style="width:435.25pt;height:.05pt;mso-width-percent:0;mso-height-percent:0;mso-width-percent:0;mso-height-percent:0" o:hrpct="930" o:hralign="center" o:hrstd="t" o:hr="t" fillcolor="#a0a0a0" stroked="f"/>
        </w:pict>
      </w:r>
    </w:p>
    <w:p w14:paraId="2EAC326A"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B. Digital Evidence Handling under Federal Decree-Law No. 34 of 2021 (Cybercrime Law)</w:t>
      </w:r>
    </w:p>
    <w:p w14:paraId="1F16DC75"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This law complements the Criminal Procedure Law by explicitly addressing offenses involving </w:t>
      </w:r>
      <w:r w:rsidRPr="00194005">
        <w:rPr>
          <w:rFonts w:ascii="Times New Roman" w:hAnsi="Times New Roman" w:cs="Times New Roman"/>
          <w:b/>
          <w:bCs/>
          <w:sz w:val="32"/>
          <w:szCs w:val="32"/>
        </w:rPr>
        <w:t>digital platforms, devices, and electronic data</w:t>
      </w:r>
      <w:r w:rsidRPr="00194005">
        <w:rPr>
          <w:rFonts w:ascii="Times New Roman" w:hAnsi="Times New Roman" w:cs="Times New Roman"/>
          <w:sz w:val="32"/>
          <w:szCs w:val="32"/>
        </w:rPr>
        <w:t xml:space="preserve">. It provides </w:t>
      </w:r>
      <w:r w:rsidRPr="00194005">
        <w:rPr>
          <w:rFonts w:ascii="Times New Roman" w:hAnsi="Times New Roman" w:cs="Times New Roman"/>
          <w:b/>
          <w:bCs/>
          <w:sz w:val="32"/>
          <w:szCs w:val="32"/>
        </w:rPr>
        <w:t>investigative and prosecutorial powers</w:t>
      </w:r>
      <w:r w:rsidRPr="00194005">
        <w:rPr>
          <w:rFonts w:ascii="Times New Roman" w:hAnsi="Times New Roman" w:cs="Times New Roman"/>
          <w:sz w:val="32"/>
          <w:szCs w:val="32"/>
        </w:rPr>
        <w:t xml:space="preserve"> relevant to cyberspace, and is tailored to the technical realities of online crime.</w:t>
      </w:r>
    </w:p>
    <w:p w14:paraId="4B144713"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Article 48 – Access and Preservation Powers</w:t>
      </w:r>
      <w:r w:rsidRPr="00194005">
        <w:rPr>
          <w:rFonts w:ascii="Times New Roman" w:hAnsi="Times New Roman" w:cs="Times New Roman"/>
          <w:sz w:val="32"/>
          <w:szCs w:val="32"/>
        </w:rPr>
        <w:br/>
        <w:t>This provision allows competent authorities to:</w:t>
      </w:r>
    </w:p>
    <w:p w14:paraId="63F7842F" w14:textId="77777777" w:rsidR="00AB42DE" w:rsidRPr="00194005" w:rsidRDefault="00AB42DE" w:rsidP="00AB42DE">
      <w:pPr>
        <w:numPr>
          <w:ilvl w:val="0"/>
          <w:numId w:val="15"/>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Access, collect, copy, and preserve digital data</w:t>
      </w:r>
      <w:r w:rsidRPr="00194005">
        <w:rPr>
          <w:rFonts w:ascii="Times New Roman" w:hAnsi="Times New Roman" w:cs="Times New Roman"/>
          <w:sz w:val="32"/>
          <w:szCs w:val="32"/>
        </w:rPr>
        <w:t xml:space="preserve"> or systems relevant to the investigation</w:t>
      </w:r>
    </w:p>
    <w:p w14:paraId="2996E893" w14:textId="77777777" w:rsidR="00AB42DE" w:rsidRPr="00194005" w:rsidRDefault="00AB42DE" w:rsidP="00AB42DE">
      <w:pPr>
        <w:numPr>
          <w:ilvl w:val="0"/>
          <w:numId w:val="15"/>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Demand </w:t>
      </w:r>
      <w:r w:rsidRPr="00194005">
        <w:rPr>
          <w:rFonts w:ascii="Times New Roman" w:hAnsi="Times New Roman" w:cs="Times New Roman"/>
          <w:b/>
          <w:bCs/>
          <w:sz w:val="32"/>
          <w:szCs w:val="32"/>
        </w:rPr>
        <w:t>real-time access</w:t>
      </w:r>
      <w:r w:rsidRPr="00194005">
        <w:rPr>
          <w:rFonts w:ascii="Times New Roman" w:hAnsi="Times New Roman" w:cs="Times New Roman"/>
          <w:sz w:val="32"/>
          <w:szCs w:val="32"/>
        </w:rPr>
        <w:t xml:space="preserve"> or </w:t>
      </w:r>
      <w:r w:rsidRPr="00194005">
        <w:rPr>
          <w:rFonts w:ascii="Times New Roman" w:hAnsi="Times New Roman" w:cs="Times New Roman"/>
          <w:b/>
          <w:bCs/>
          <w:sz w:val="32"/>
          <w:szCs w:val="32"/>
        </w:rPr>
        <w:t>log data</w:t>
      </w:r>
      <w:r w:rsidRPr="00194005">
        <w:rPr>
          <w:rFonts w:ascii="Times New Roman" w:hAnsi="Times New Roman" w:cs="Times New Roman"/>
          <w:sz w:val="32"/>
          <w:szCs w:val="32"/>
        </w:rPr>
        <w:t xml:space="preserve"> from service providers or custodians</w:t>
      </w:r>
    </w:p>
    <w:p w14:paraId="1D651FA7" w14:textId="77777777" w:rsidR="00AB42DE" w:rsidRPr="00194005" w:rsidRDefault="00AB42DE" w:rsidP="00AB42DE">
      <w:pPr>
        <w:numPr>
          <w:ilvl w:val="0"/>
          <w:numId w:val="15"/>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Ensure that such actions are done </w:t>
      </w:r>
      <w:r w:rsidRPr="00194005">
        <w:rPr>
          <w:rFonts w:ascii="Times New Roman" w:hAnsi="Times New Roman" w:cs="Times New Roman"/>
          <w:b/>
          <w:bCs/>
          <w:sz w:val="32"/>
          <w:szCs w:val="32"/>
        </w:rPr>
        <w:t>without compromising the integrity or confidentiality</w:t>
      </w:r>
      <w:r w:rsidRPr="00194005">
        <w:rPr>
          <w:rFonts w:ascii="Times New Roman" w:hAnsi="Times New Roman" w:cs="Times New Roman"/>
          <w:sz w:val="32"/>
          <w:szCs w:val="32"/>
        </w:rPr>
        <w:t xml:space="preserve"> of data unless authorized by law</w:t>
      </w:r>
    </w:p>
    <w:p w14:paraId="4B7C11C0"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lastRenderedPageBreak/>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Article 50 – Obligations of Service Providers</w:t>
      </w:r>
      <w:r w:rsidRPr="00194005">
        <w:rPr>
          <w:rFonts w:ascii="Times New Roman" w:hAnsi="Times New Roman" w:cs="Times New Roman"/>
          <w:sz w:val="32"/>
          <w:szCs w:val="32"/>
        </w:rPr>
        <w:br/>
        <w:t xml:space="preserve">This article empowers authorities to instruct </w:t>
      </w:r>
      <w:r w:rsidRPr="00194005">
        <w:rPr>
          <w:rFonts w:ascii="Times New Roman" w:hAnsi="Times New Roman" w:cs="Times New Roman"/>
          <w:b/>
          <w:bCs/>
          <w:sz w:val="32"/>
          <w:szCs w:val="32"/>
        </w:rPr>
        <w:t>ISPs, hosting platforms, or tech companies</w:t>
      </w:r>
      <w:r w:rsidRPr="00194005">
        <w:rPr>
          <w:rFonts w:ascii="Times New Roman" w:hAnsi="Times New Roman" w:cs="Times New Roman"/>
          <w:sz w:val="32"/>
          <w:szCs w:val="32"/>
        </w:rPr>
        <w:t xml:space="preserve"> within UAE jurisdiction to:</w:t>
      </w:r>
    </w:p>
    <w:p w14:paraId="71C1C28C" w14:textId="77777777" w:rsidR="00AB42DE" w:rsidRPr="00194005" w:rsidRDefault="00AB42DE" w:rsidP="00AB42DE">
      <w:pPr>
        <w:numPr>
          <w:ilvl w:val="0"/>
          <w:numId w:val="16"/>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Provide stored or transmitted data</w:t>
      </w:r>
    </w:p>
    <w:p w14:paraId="31515FDC" w14:textId="77777777" w:rsidR="00AB42DE" w:rsidRPr="00194005" w:rsidRDefault="00AB42DE" w:rsidP="00AB42DE">
      <w:pPr>
        <w:numPr>
          <w:ilvl w:val="0"/>
          <w:numId w:val="16"/>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Cooperate with the investigation by </w:t>
      </w:r>
      <w:r w:rsidRPr="00194005">
        <w:rPr>
          <w:rFonts w:ascii="Times New Roman" w:hAnsi="Times New Roman" w:cs="Times New Roman"/>
          <w:b/>
          <w:bCs/>
          <w:sz w:val="32"/>
          <w:szCs w:val="32"/>
        </w:rPr>
        <w:t>preserving metadata, timestamps, and logs</w:t>
      </w:r>
    </w:p>
    <w:p w14:paraId="19D73D16" w14:textId="77777777" w:rsidR="00AB42DE" w:rsidRPr="00194005" w:rsidRDefault="00AB42DE" w:rsidP="00AB42DE">
      <w:pPr>
        <w:numPr>
          <w:ilvl w:val="0"/>
          <w:numId w:val="16"/>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Comply within legally specified timelines, failing which </w:t>
      </w:r>
      <w:r w:rsidRPr="00194005">
        <w:rPr>
          <w:rFonts w:ascii="Times New Roman" w:hAnsi="Times New Roman" w:cs="Times New Roman"/>
          <w:b/>
          <w:bCs/>
          <w:sz w:val="32"/>
          <w:szCs w:val="32"/>
        </w:rPr>
        <w:t>penalties or sanctions</w:t>
      </w:r>
      <w:r w:rsidRPr="00194005">
        <w:rPr>
          <w:rFonts w:ascii="Times New Roman" w:hAnsi="Times New Roman" w:cs="Times New Roman"/>
          <w:sz w:val="32"/>
          <w:szCs w:val="32"/>
        </w:rPr>
        <w:t xml:space="preserve"> may be applied</w:t>
      </w:r>
    </w:p>
    <w:p w14:paraId="714F3760"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In cross-border cases, data stored outside UAE may be accessed only via international cooperation tools like Mutual Legal Assistance Treaties (MLATs) or diplomatic channels.</w:t>
      </w:r>
    </w:p>
    <w:p w14:paraId="070C5B89"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734CA620">
          <v:rect id="_x0000_i1027" alt="" style="width:435.25pt;height:.05pt;mso-width-percent:0;mso-height-percent:0;mso-width-percent:0;mso-height-percent:0" o:hrpct="930" o:hralign="center" o:hrstd="t" o:hr="t" fillcolor="#a0a0a0" stroked="f"/>
        </w:pict>
      </w:r>
    </w:p>
    <w:p w14:paraId="00203B6A"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C. Exceptions: Flagrante Delicto and Urgency Situations</w:t>
      </w:r>
    </w:p>
    <w:p w14:paraId="6F93FE2A"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In cases where a suspect is </w:t>
      </w:r>
      <w:r w:rsidRPr="00194005">
        <w:rPr>
          <w:rFonts w:ascii="Times New Roman" w:hAnsi="Times New Roman" w:cs="Times New Roman"/>
          <w:b/>
          <w:bCs/>
          <w:sz w:val="32"/>
          <w:szCs w:val="32"/>
        </w:rPr>
        <w:t>caught in the act (flagrante delicto)</w:t>
      </w:r>
      <w:r w:rsidRPr="00194005">
        <w:rPr>
          <w:rFonts w:ascii="Times New Roman" w:hAnsi="Times New Roman" w:cs="Times New Roman"/>
          <w:sz w:val="32"/>
          <w:szCs w:val="32"/>
        </w:rPr>
        <w:t xml:space="preserve"> or </w:t>
      </w:r>
      <w:r w:rsidRPr="00194005">
        <w:rPr>
          <w:rFonts w:ascii="Times New Roman" w:hAnsi="Times New Roman" w:cs="Times New Roman"/>
          <w:b/>
          <w:bCs/>
          <w:sz w:val="32"/>
          <w:szCs w:val="32"/>
        </w:rPr>
        <w:t>there is an immediate threat to data being destroyed</w:t>
      </w:r>
      <w:r w:rsidRPr="00194005">
        <w:rPr>
          <w:rFonts w:ascii="Times New Roman" w:hAnsi="Times New Roman" w:cs="Times New Roman"/>
          <w:sz w:val="32"/>
          <w:szCs w:val="32"/>
        </w:rPr>
        <w:t>, Article 47 allows law enforcement to conduct a search or seizure without prior judicial approval. However, such actions must be:</w:t>
      </w:r>
    </w:p>
    <w:p w14:paraId="1B8A74FE" w14:textId="77777777" w:rsidR="00AB42DE" w:rsidRPr="00194005" w:rsidRDefault="00AB42DE" w:rsidP="00AB42DE">
      <w:pPr>
        <w:numPr>
          <w:ilvl w:val="0"/>
          <w:numId w:val="17"/>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Promptly reported to the Public Prosecution</w:t>
      </w:r>
    </w:p>
    <w:p w14:paraId="29B6ED25" w14:textId="77777777" w:rsidR="00AB42DE" w:rsidRPr="00194005" w:rsidRDefault="00AB42DE" w:rsidP="00AB42DE">
      <w:pPr>
        <w:numPr>
          <w:ilvl w:val="0"/>
          <w:numId w:val="17"/>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t>Documented in detail</w:t>
      </w:r>
      <w:r w:rsidRPr="00194005">
        <w:rPr>
          <w:rFonts w:ascii="Times New Roman" w:hAnsi="Times New Roman" w:cs="Times New Roman"/>
          <w:sz w:val="32"/>
          <w:szCs w:val="32"/>
        </w:rPr>
        <w:t>, including time, place, nature of the urgency, and data retrieved</w:t>
      </w:r>
    </w:p>
    <w:p w14:paraId="69B4791C" w14:textId="7B1D84D9" w:rsidR="00AB42DE" w:rsidRPr="00194005" w:rsidRDefault="00AB42DE" w:rsidP="00AB42DE">
      <w:pPr>
        <w:numPr>
          <w:ilvl w:val="0"/>
          <w:numId w:val="17"/>
        </w:numPr>
        <w:spacing w:line="360" w:lineRule="auto"/>
        <w:jc w:val="both"/>
        <w:rPr>
          <w:rFonts w:ascii="Times New Roman" w:hAnsi="Times New Roman" w:cs="Times New Roman"/>
          <w:sz w:val="32"/>
          <w:szCs w:val="32"/>
        </w:rPr>
      </w:pPr>
      <w:r w:rsidRPr="00194005">
        <w:rPr>
          <w:rFonts w:ascii="Times New Roman" w:hAnsi="Times New Roman" w:cs="Times New Roman"/>
          <w:b/>
          <w:bCs/>
          <w:sz w:val="32"/>
          <w:szCs w:val="32"/>
        </w:rPr>
        <w:lastRenderedPageBreak/>
        <w:t>Followed by judicial confirmation</w:t>
      </w:r>
      <w:r w:rsidRPr="00194005">
        <w:rPr>
          <w:rFonts w:ascii="Times New Roman" w:hAnsi="Times New Roman" w:cs="Times New Roman"/>
          <w:sz w:val="32"/>
          <w:szCs w:val="32"/>
        </w:rPr>
        <w:t xml:space="preserve"> for the search to remain legally valid</w:t>
      </w:r>
      <w:r w:rsidR="000E0291">
        <w:rPr>
          <w:rStyle w:val="FootnoteReference"/>
          <w:rFonts w:ascii="Times New Roman" w:hAnsi="Times New Roman" w:cs="Times New Roman"/>
          <w:sz w:val="32"/>
          <w:szCs w:val="32"/>
        </w:rPr>
        <w:footnoteReference w:id="3"/>
      </w:r>
    </w:p>
    <w:p w14:paraId="4B970AC0"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Officers must be cautious when invoking this exception. Abuse or failure to justify urgent action can lead to exclusion of the evidence and legal consequences.</w:t>
      </w:r>
    </w:p>
    <w:p w14:paraId="7C8450F2"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5E8E0AEA">
          <v:rect id="_x0000_i1028" alt="" style="width:435.25pt;height:.05pt;mso-width-percent:0;mso-height-percent:0;mso-width-percent:0;mso-height-percent:0" o:hrpct="930" o:hralign="center" o:hrstd="t" o:hr="t" fillcolor="#a0a0a0" stroked="f"/>
        </w:pict>
      </w:r>
    </w:p>
    <w:p w14:paraId="7B225503"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Apple Color Emoji" w:hAnsi="Apple Color Emoji" w:cs="Apple Color Emoji"/>
          <w:b/>
          <w:bCs/>
          <w:sz w:val="32"/>
          <w:szCs w:val="32"/>
        </w:rPr>
        <w:t>✅</w:t>
      </w:r>
      <w:r w:rsidRPr="00194005">
        <w:rPr>
          <w:rFonts w:ascii="Times New Roman" w:hAnsi="Times New Roman" w:cs="Times New Roman"/>
          <w:b/>
          <w:bCs/>
          <w:sz w:val="32"/>
          <w:szCs w:val="32"/>
        </w:rPr>
        <w:t xml:space="preserve"> Checklist: Legal Compliance Before Search &amp; Seizure of Digital Evidence</w:t>
      </w:r>
    </w:p>
    <w:p w14:paraId="6F245317"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Here's a quick-reference compliance checklist for investigators:</w:t>
      </w:r>
    </w:p>
    <w:p w14:paraId="1B12BF96"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Obtain judicial search warrant (unless caught in the act)</w:t>
      </w:r>
    </w:p>
    <w:p w14:paraId="394C911E"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Ensure warrant specifies digital devices/data to be searched or seized</w:t>
      </w:r>
    </w:p>
    <w:p w14:paraId="49680B82"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Avoid altering data during access—use forensic tools</w:t>
      </w:r>
    </w:p>
    <w:p w14:paraId="378E4B60"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Maintain detailed records of methods and findings</w:t>
      </w:r>
    </w:p>
    <w:p w14:paraId="68EE70D9"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Notify and document emergency actions (if warrantless search occurs)</w:t>
      </w:r>
    </w:p>
    <w:p w14:paraId="1E6C1FE8"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Follow Article 48 for accessing/storing/copying data</w:t>
      </w:r>
    </w:p>
    <w:p w14:paraId="3510D06A"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Seek cooperation from service providers under Article 50</w:t>
      </w:r>
    </w:p>
    <w:p w14:paraId="611830C6"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Preserve logs, timestamps, and metadata during seizure</w:t>
      </w:r>
    </w:p>
    <w:p w14:paraId="7813F398"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lastRenderedPageBreak/>
        <w:t>☐</w:t>
      </w:r>
      <w:r w:rsidRPr="00194005">
        <w:rPr>
          <w:rFonts w:ascii="Times New Roman" w:hAnsi="Times New Roman" w:cs="Times New Roman"/>
          <w:sz w:val="32"/>
          <w:szCs w:val="32"/>
        </w:rPr>
        <w:t xml:space="preserve"> Maintain full chain of custody documentation</w:t>
      </w:r>
    </w:p>
    <w:p w14:paraId="5AA1AAA6" w14:textId="62E0A7E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By adhering to these legal provisions, investigators can ensure that </w:t>
      </w:r>
      <w:r w:rsidRPr="00194005">
        <w:rPr>
          <w:rFonts w:ascii="Times New Roman" w:hAnsi="Times New Roman" w:cs="Times New Roman"/>
          <w:b/>
          <w:bCs/>
          <w:sz w:val="32"/>
          <w:szCs w:val="32"/>
        </w:rPr>
        <w:t>digital evidence is admissible</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rights of individuals are protected</w:t>
      </w:r>
      <w:r w:rsidRPr="00194005">
        <w:rPr>
          <w:rFonts w:ascii="Times New Roman" w:hAnsi="Times New Roman" w:cs="Times New Roman"/>
          <w:sz w:val="32"/>
          <w:szCs w:val="32"/>
        </w:rPr>
        <w:t xml:space="preserve">, and the </w:t>
      </w:r>
      <w:r w:rsidRPr="00194005">
        <w:rPr>
          <w:rFonts w:ascii="Times New Roman" w:hAnsi="Times New Roman" w:cs="Times New Roman"/>
          <w:b/>
          <w:bCs/>
          <w:sz w:val="32"/>
          <w:szCs w:val="32"/>
        </w:rPr>
        <w:t>credibility of the investigation remains intact</w:t>
      </w:r>
      <w:r w:rsidRPr="00194005">
        <w:rPr>
          <w:rFonts w:ascii="Times New Roman" w:hAnsi="Times New Roman" w:cs="Times New Roman"/>
          <w:sz w:val="32"/>
          <w:szCs w:val="32"/>
        </w:rPr>
        <w:t>. In UAE's rapidly evolving legal-technical landscape, knowledge of these statutes is not optional—it is essential.</w:t>
      </w:r>
    </w:p>
    <w:p w14:paraId="7C03F410" w14:textId="432AC3AD"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6C70D284">
          <v:rect id="_x0000_i1029" alt="" style="width:435.25pt;height:.05pt;mso-width-percent:0;mso-height-percent:0;mso-width-percent:0;mso-height-percent:0" o:hrpct="930" o:hralign="center" o:hrstd="t" o:hr="t" fillcolor="#a0a0a0" stroked="f"/>
        </w:pict>
      </w:r>
    </w:p>
    <w:p w14:paraId="3EB70F43"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2. Pre-Seizure Preparation</w:t>
      </w:r>
    </w:p>
    <w:p w14:paraId="0FD14426"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Before initiating any seizure, law enforcement must engage in detailed preparation. This includes identifying the devices, accounts, or cloud services likely to contain relevant data, and ensuring all legal authorizations are in place.</w:t>
      </w:r>
    </w:p>
    <w:p w14:paraId="6A30323B"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Pre-Seizure Preparation Checklist:</w:t>
      </w:r>
    </w:p>
    <w:p w14:paraId="5603E5C3" w14:textId="77777777" w:rsidR="00AB42DE" w:rsidRPr="00194005" w:rsidRDefault="00AB42DE" w:rsidP="00AB42DE">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Obtain a valid search warrant from the competent judicial authority</w:t>
      </w:r>
    </w:p>
    <w:p w14:paraId="6E924BFE" w14:textId="77777777" w:rsidR="00AB42DE" w:rsidRPr="00194005" w:rsidRDefault="00AB42DE" w:rsidP="00AB42DE">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Identify specific electronic devices/accounts to be searched</w:t>
      </w:r>
    </w:p>
    <w:p w14:paraId="7D7A4D86" w14:textId="77777777" w:rsidR="00AB42DE" w:rsidRPr="00194005" w:rsidRDefault="00AB42DE" w:rsidP="00AB42DE">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Verify legal jurisdiction over the location/device</w:t>
      </w:r>
    </w:p>
    <w:p w14:paraId="57FD106E" w14:textId="77777777" w:rsidR="00AB42DE" w:rsidRPr="00194005" w:rsidRDefault="00AB42DE" w:rsidP="00AB42DE">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Arrange for the presence of a digital forensics expert</w:t>
      </w:r>
    </w:p>
    <w:p w14:paraId="226C2474" w14:textId="77777777" w:rsidR="00AB42DE" w:rsidRPr="00194005" w:rsidRDefault="00AB42DE" w:rsidP="00AB42DE">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Carry necessary tools for imaging and data collection</w:t>
      </w:r>
    </w:p>
    <w:p w14:paraId="3FB311A1" w14:textId="3E0E442F" w:rsidR="00A8736F" w:rsidRPr="00A8736F" w:rsidRDefault="00AB42DE" w:rsidP="00A8736F">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lastRenderedPageBreak/>
        <w:t>☐</w:t>
      </w:r>
      <w:r w:rsidRPr="00194005">
        <w:rPr>
          <w:rFonts w:ascii="Times New Roman" w:hAnsi="Times New Roman" w:cs="Times New Roman"/>
          <w:sz w:val="32"/>
          <w:szCs w:val="32"/>
        </w:rPr>
        <w:t xml:space="preserve"> Prepare documentation forms (inventory, chain of custody, etc.)</w:t>
      </w:r>
      <w:r w:rsidR="00A8736F">
        <w:rPr>
          <w:rStyle w:val="FootnoteReference"/>
          <w:rFonts w:ascii="Times New Roman" w:hAnsi="Times New Roman" w:cs="Times New Roman"/>
          <w:sz w:val="32"/>
          <w:szCs w:val="32"/>
        </w:rPr>
        <w:footnoteReference w:id="4"/>
      </w:r>
    </w:p>
    <w:p w14:paraId="28A621CD" w14:textId="77777777" w:rsidR="00AB42DE" w:rsidRPr="00194005" w:rsidRDefault="00AB42DE" w:rsidP="00AB42DE">
      <w:pPr>
        <w:numPr>
          <w:ilvl w:val="0"/>
          <w:numId w:val="1"/>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Check if encrypted or password-protected devices are involved</w:t>
      </w:r>
    </w:p>
    <w:p w14:paraId="086B7CF5"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3F48FC5A">
          <v:rect id="_x0000_i1030" alt="" style="width:435.25pt;height:.05pt;mso-width-percent:0;mso-height-percent:0;mso-width-percent:0;mso-height-percent:0" o:hrpct="930" o:hralign="center" o:hrstd="t" o:hr="t" fillcolor="#a0a0a0" stroked="f"/>
        </w:pict>
      </w:r>
    </w:p>
    <w:p w14:paraId="1EA5816C"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3. On-Site Procedure During Seizure</w:t>
      </w:r>
    </w:p>
    <w:p w14:paraId="4E62CB79"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At the scene, investigators must ensure proper handling of all electronic devices to prevent data alteration or loss. This includes isolating devices from networks and preserving volatile data when necessary. It is essential to maintain a </w:t>
      </w:r>
      <w:r w:rsidRPr="00194005">
        <w:rPr>
          <w:rFonts w:ascii="Times New Roman" w:hAnsi="Times New Roman" w:cs="Times New Roman"/>
          <w:b/>
          <w:bCs/>
          <w:sz w:val="32"/>
          <w:szCs w:val="32"/>
        </w:rPr>
        <w:t>non-intrusive approach</w:t>
      </w:r>
      <w:r w:rsidRPr="00194005">
        <w:rPr>
          <w:rFonts w:ascii="Times New Roman" w:hAnsi="Times New Roman" w:cs="Times New Roman"/>
          <w:sz w:val="32"/>
          <w:szCs w:val="32"/>
        </w:rPr>
        <w:t>, capturing evidence without modifying its content or metadata.</w:t>
      </w:r>
    </w:p>
    <w:p w14:paraId="3F24C67C"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On-Site Seizure Checklist:</w:t>
      </w:r>
    </w:p>
    <w:p w14:paraId="00DF619C"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Isolate the device from all networks (disable Wi-Fi, mobile data, etc.)</w:t>
      </w:r>
    </w:p>
    <w:p w14:paraId="14B059FE"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Record device status (on/off, open applications, etc.)</w:t>
      </w:r>
    </w:p>
    <w:p w14:paraId="4C792138"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Take photographs/videos of the scene and device setup</w:t>
      </w:r>
    </w:p>
    <w:p w14:paraId="5DFC2C4F"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Document the serial numbers and device details</w:t>
      </w:r>
    </w:p>
    <w:p w14:paraId="2E3CB575"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Avoid shutting down devices unless necessary</w:t>
      </w:r>
    </w:p>
    <w:p w14:paraId="6A0A0C6A"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Use write blockers for storage devices before imaging</w:t>
      </w:r>
    </w:p>
    <w:p w14:paraId="1E8B2037"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lastRenderedPageBreak/>
        <w:t>☐</w:t>
      </w:r>
      <w:r w:rsidRPr="00194005">
        <w:rPr>
          <w:rFonts w:ascii="Times New Roman" w:hAnsi="Times New Roman" w:cs="Times New Roman"/>
          <w:sz w:val="32"/>
          <w:szCs w:val="32"/>
        </w:rPr>
        <w:t xml:space="preserve"> Obtain signed receipt/inventory from the suspect (if cooperative)</w:t>
      </w:r>
    </w:p>
    <w:p w14:paraId="5A5FB26C" w14:textId="77777777" w:rsidR="00AB42DE" w:rsidRPr="00194005" w:rsidRDefault="00AB42DE" w:rsidP="00AB42DE">
      <w:pPr>
        <w:numPr>
          <w:ilvl w:val="0"/>
          <w:numId w:val="2"/>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Log each step and personnel involved in the seizure process</w:t>
      </w:r>
    </w:p>
    <w:p w14:paraId="244CCE46"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6E05DFD6">
          <v:rect id="_x0000_i1031" alt="" style="width:435.25pt;height:.05pt;mso-width-percent:0;mso-height-percent:0;mso-width-percent:0;mso-height-percent:0" o:hrpct="930" o:hralign="center" o:hrstd="t" o:hr="t" fillcolor="#a0a0a0" stroked="f"/>
        </w:pict>
      </w:r>
    </w:p>
    <w:p w14:paraId="6027A9B0"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4. Types of Digital Evidence Commonly Seized</w:t>
      </w:r>
    </w:p>
    <w:p w14:paraId="6CA5BA46"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The nature and scope of a cybercrime determine the type of electronic evidence law enforcement must seek. Each category of digital evidence holds a unique forensic value and can play a crucial role in proving criminal intent, identifying suspects, establishing timelines, and linking the accused to the offense. During any search operation, investigators must be equipped to identify and handle these sources of evidence with the highest standards of technical and legal care.</w:t>
      </w:r>
    </w:p>
    <w:p w14:paraId="5A81F011" w14:textId="7788DEAF"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Below is a detailed breakdown of commonly encountered digital evidence in cybercrime investigations:</w:t>
      </w:r>
      <w:r w:rsidR="00BF6E1A">
        <w:rPr>
          <w:rFonts w:ascii="Times New Roman" w:hAnsi="Times New Roman" w:cs="Times New Roman"/>
          <w:noProof/>
          <w:sz w:val="32"/>
          <w:szCs w:val="32"/>
        </w:rPr>
        <w:pict w14:anchorId="7E63F12F">
          <v:rect id="_x0000_i1032" alt="" style="width:435.25pt;height:.05pt;mso-width-percent:0;mso-height-percent:0;mso-width-percent:0;mso-height-percent:0" o:hrpct="930" o:hralign="center" o:hrstd="t" o:hr="t" fillcolor="#a0a0a0" stroked="f"/>
        </w:pict>
      </w:r>
    </w:p>
    <w:p w14:paraId="45E3A7C6"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1. Computers and Laptops</w:t>
      </w:r>
    </w:p>
    <w:p w14:paraId="49A82A79"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These are often the primary devices used for executing or planning cybercrimes. They may contain:</w:t>
      </w:r>
    </w:p>
    <w:p w14:paraId="5372521A" w14:textId="77777777" w:rsidR="00AB42DE" w:rsidRPr="00194005" w:rsidRDefault="00AB42DE" w:rsidP="00AB42DE">
      <w:pPr>
        <w:numPr>
          <w:ilvl w:val="0"/>
          <w:numId w:val="7"/>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Emails and communication logs relevant to phishing, scams, or impersonation</w:t>
      </w:r>
    </w:p>
    <w:p w14:paraId="63C489BB" w14:textId="77777777" w:rsidR="00AB42DE" w:rsidRPr="00194005" w:rsidRDefault="00AB42DE" w:rsidP="00AB42DE">
      <w:pPr>
        <w:numPr>
          <w:ilvl w:val="0"/>
          <w:numId w:val="7"/>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Browser history to identify visited websites or illicit platforms</w:t>
      </w:r>
    </w:p>
    <w:p w14:paraId="05E4C66B" w14:textId="77777777" w:rsidR="00AB42DE" w:rsidRPr="00194005" w:rsidRDefault="00AB42DE" w:rsidP="00AB42DE">
      <w:pPr>
        <w:numPr>
          <w:ilvl w:val="0"/>
          <w:numId w:val="7"/>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lastRenderedPageBreak/>
        <w:t>Stored documents, spreadsheets, or databases containing hacked data, financial fraud records, or illegal content</w:t>
      </w:r>
    </w:p>
    <w:p w14:paraId="349CB789" w14:textId="77777777" w:rsidR="00AB42DE" w:rsidRPr="00194005" w:rsidRDefault="00AB42DE" w:rsidP="00AB42DE">
      <w:pPr>
        <w:numPr>
          <w:ilvl w:val="0"/>
          <w:numId w:val="7"/>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Download folders and software logs showing use of encryption, VPNs, or data-wiping tools</w:t>
      </w:r>
    </w:p>
    <w:p w14:paraId="7B39D33D"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Tip: Always ensure that imaging is done using forensic tools to avoid altering the system during access.</w:t>
      </w:r>
    </w:p>
    <w:p w14:paraId="7469CE82"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5B288A1D">
          <v:rect id="_x0000_i1033" alt="" style="width:435.25pt;height:.05pt;mso-width-percent:0;mso-height-percent:0;mso-width-percent:0;mso-height-percent:0" o:hrpct="930" o:hralign="center" o:hrstd="t" o:hr="t" fillcolor="#a0a0a0" stroked="f"/>
        </w:pict>
      </w:r>
    </w:p>
    <w:p w14:paraId="1A243B1A"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2. Mobile Phones and Tablets</w:t>
      </w:r>
    </w:p>
    <w:p w14:paraId="7AFC213E"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Modern mobile devices are often more informative than computers due to their constant use and location-tracking capabilities. They may provide:</w:t>
      </w:r>
    </w:p>
    <w:p w14:paraId="35944EB2" w14:textId="77777777" w:rsidR="00AB42DE" w:rsidRPr="00194005" w:rsidRDefault="00AB42DE" w:rsidP="00AB42DE">
      <w:pPr>
        <w:numPr>
          <w:ilvl w:val="0"/>
          <w:numId w:val="8"/>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Call logs, SMS, and messaging app data (e.g., WhatsApp, Telegram, Signal)</w:t>
      </w:r>
    </w:p>
    <w:p w14:paraId="159BD038" w14:textId="77777777" w:rsidR="00AB42DE" w:rsidRPr="00194005" w:rsidRDefault="00AB42DE" w:rsidP="00AB42DE">
      <w:pPr>
        <w:numPr>
          <w:ilvl w:val="0"/>
          <w:numId w:val="8"/>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GPS and location history useful for placing the suspect at the scene</w:t>
      </w:r>
    </w:p>
    <w:p w14:paraId="158FA7BF" w14:textId="77777777" w:rsidR="00AB42DE" w:rsidRPr="00194005" w:rsidRDefault="00AB42DE" w:rsidP="00AB42DE">
      <w:pPr>
        <w:numPr>
          <w:ilvl w:val="0"/>
          <w:numId w:val="8"/>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Multimedia files (photos, videos, voice notes) linked to harassment, blackmail, or illegal content sharing</w:t>
      </w:r>
    </w:p>
    <w:p w14:paraId="43231517" w14:textId="77777777" w:rsidR="00AB42DE" w:rsidRPr="00194005" w:rsidRDefault="00AB42DE" w:rsidP="00AB42DE">
      <w:pPr>
        <w:numPr>
          <w:ilvl w:val="0"/>
          <w:numId w:val="8"/>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App data and internet history, including crypto transactions, anonymous browsing, or dark web access</w:t>
      </w:r>
    </w:p>
    <w:p w14:paraId="33ECF0DE"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Volatile data on mobiles can be lost quickly. Immediate forensic acquisition is recommended on-site if legally permissible.</w:t>
      </w:r>
    </w:p>
    <w:p w14:paraId="23E14280"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3D47660F">
          <v:rect id="_x0000_i1034" alt="" style="width:435.25pt;height:.05pt;mso-width-percent:0;mso-height-percent:0;mso-width-percent:0;mso-height-percent:0" o:hrpct="930" o:hralign="center" o:hrstd="t" o:hr="t" fillcolor="#a0a0a0" stroked="f"/>
        </w:pict>
      </w:r>
    </w:p>
    <w:p w14:paraId="13C0F7C7"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lastRenderedPageBreak/>
        <w:t>3. Removable Media</w:t>
      </w:r>
    </w:p>
    <w:p w14:paraId="6CEE4783"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These include USB drives, external hard disks, memory cards, and SD cards. While small and portable, they often contain highly sensitive data:</w:t>
      </w:r>
    </w:p>
    <w:p w14:paraId="0C3A4B9A" w14:textId="77777777" w:rsidR="00AB42DE" w:rsidRPr="00194005" w:rsidRDefault="00AB42DE" w:rsidP="00AB42DE">
      <w:pPr>
        <w:numPr>
          <w:ilvl w:val="0"/>
          <w:numId w:val="9"/>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Backups of systems or stolen data</w:t>
      </w:r>
    </w:p>
    <w:p w14:paraId="337312B6" w14:textId="77777777" w:rsidR="00AB42DE" w:rsidRPr="00194005" w:rsidRDefault="00AB42DE" w:rsidP="00AB42DE">
      <w:pPr>
        <w:numPr>
          <w:ilvl w:val="0"/>
          <w:numId w:val="9"/>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Executable malware or keyloggers for cyber intrusions</w:t>
      </w:r>
    </w:p>
    <w:p w14:paraId="60A199B2" w14:textId="77777777" w:rsidR="00AB42DE" w:rsidRPr="00194005" w:rsidRDefault="00AB42DE" w:rsidP="00AB42DE">
      <w:pPr>
        <w:numPr>
          <w:ilvl w:val="0"/>
          <w:numId w:val="9"/>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Logs or screenshots documenting illegal activity</w:t>
      </w:r>
    </w:p>
    <w:p w14:paraId="329229BE"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Evidence from removable media must be hashed and sealed immediately to ensure forensic integrity.</w:t>
      </w:r>
    </w:p>
    <w:p w14:paraId="2C581CF7"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77231A06">
          <v:rect id="_x0000_i1035" alt="" style="width:435.25pt;height:.05pt;mso-width-percent:0;mso-height-percent:0;mso-width-percent:0;mso-height-percent:0" o:hrpct="930" o:hralign="center" o:hrstd="t" o:hr="t" fillcolor="#a0a0a0" stroked="f"/>
        </w:pict>
      </w:r>
    </w:p>
    <w:p w14:paraId="4B5BF962"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4. Cloud Storage Accounts and Email Services</w:t>
      </w:r>
    </w:p>
    <w:p w14:paraId="227B13A6"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As cloud computing becomes more prevalent, many criminals store data remotely to evade local seizure. Common services include Google Drive, iCloud, Dropbox, OneDrive, etc. Evidence found may include:</w:t>
      </w:r>
    </w:p>
    <w:p w14:paraId="66AD821F" w14:textId="77777777" w:rsidR="00AB42DE" w:rsidRPr="00194005" w:rsidRDefault="00AB42DE" w:rsidP="00AB42DE">
      <w:pPr>
        <w:numPr>
          <w:ilvl w:val="0"/>
          <w:numId w:val="10"/>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Digital documents, media files, or logs of unauthorized access</w:t>
      </w:r>
    </w:p>
    <w:p w14:paraId="2965CFA8" w14:textId="77777777" w:rsidR="00AB42DE" w:rsidRPr="00194005" w:rsidRDefault="00AB42DE" w:rsidP="00AB42DE">
      <w:pPr>
        <w:numPr>
          <w:ilvl w:val="0"/>
          <w:numId w:val="10"/>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Shared folders or collaboration tools used for criminal planning</w:t>
      </w:r>
    </w:p>
    <w:p w14:paraId="41DC2531" w14:textId="77777777" w:rsidR="00AB42DE" w:rsidRPr="00194005" w:rsidRDefault="00AB42DE" w:rsidP="00AB42DE">
      <w:pPr>
        <w:numPr>
          <w:ilvl w:val="0"/>
          <w:numId w:val="10"/>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Email headers and metadata, which help trace sender IPs and timestamps</w:t>
      </w:r>
    </w:p>
    <w:p w14:paraId="358B9561"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Accessing foreign-hosted data requires adherence to Mutual Legal Assistance Treaties (MLAT) or diplomatic channels unless stored within UAE jurisdictions.</w:t>
      </w:r>
    </w:p>
    <w:p w14:paraId="46EE7624"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lastRenderedPageBreak/>
        <w:pict w14:anchorId="18AA4A73">
          <v:rect id="_x0000_i1036" alt="" style="width:435.25pt;height:.05pt;mso-width-percent:0;mso-height-percent:0;mso-width-percent:0;mso-height-percent:0" o:hrpct="930" o:hralign="center" o:hrstd="t" o:hr="t" fillcolor="#a0a0a0" stroked="f"/>
        </w:pict>
      </w:r>
    </w:p>
    <w:p w14:paraId="45371CFE"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5. Network Devices and Logs</w:t>
      </w:r>
    </w:p>
    <w:p w14:paraId="6E6014E9"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Routers, modems, firewalls, and network switches may carry valuable information in the form of:</w:t>
      </w:r>
    </w:p>
    <w:p w14:paraId="770F2A46" w14:textId="77777777" w:rsidR="00AB42DE" w:rsidRPr="00194005" w:rsidRDefault="00AB42DE" w:rsidP="00AB42DE">
      <w:pPr>
        <w:numPr>
          <w:ilvl w:val="0"/>
          <w:numId w:val="11"/>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Connection logs that trace IP addresses, session times, or intrusion attempts</w:t>
      </w:r>
    </w:p>
    <w:p w14:paraId="1BD5B48C" w14:textId="77777777" w:rsidR="00AB42DE" w:rsidRPr="00194005" w:rsidRDefault="00AB42DE" w:rsidP="00AB42DE">
      <w:pPr>
        <w:numPr>
          <w:ilvl w:val="0"/>
          <w:numId w:val="11"/>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MAC address mappings that identify specific devices connected to a network</w:t>
      </w:r>
    </w:p>
    <w:p w14:paraId="707C0EBC" w14:textId="77777777" w:rsidR="00AB42DE" w:rsidRPr="00194005" w:rsidRDefault="00AB42DE" w:rsidP="00AB42DE">
      <w:pPr>
        <w:numPr>
          <w:ilvl w:val="0"/>
          <w:numId w:val="11"/>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Logs showing use of anonymizing tools like VPNs or proxy servers</w:t>
      </w:r>
    </w:p>
    <w:p w14:paraId="624E451F"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Ensure to clone configurations and logs before shutdown; network evidence is volatile and time-sensitive.</w:t>
      </w:r>
    </w:p>
    <w:p w14:paraId="6FBE95CB"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57F6D167">
          <v:rect id="_x0000_i1037" alt="" style="width:435.25pt;height:.05pt;mso-width-percent:0;mso-height-percent:0;mso-width-percent:0;mso-height-percent:0" o:hrpct="930" o:hralign="center" o:hrstd="t" o:hr="t" fillcolor="#a0a0a0" stroked="f"/>
        </w:pict>
      </w:r>
    </w:p>
    <w:p w14:paraId="7D857D49"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6. Internet of Things (IoT) Devices</w:t>
      </w:r>
    </w:p>
    <w:p w14:paraId="05245322"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IoT devices such as smart speakers, home security cameras, smart TVs, fitness bands, and even connected appliances can serve as silent witnesses. Potential evidence includes:</w:t>
      </w:r>
    </w:p>
    <w:p w14:paraId="5D95EB55" w14:textId="77777777" w:rsidR="00AB42DE" w:rsidRPr="00194005" w:rsidRDefault="00AB42DE" w:rsidP="00AB42DE">
      <w:pPr>
        <w:numPr>
          <w:ilvl w:val="0"/>
          <w:numId w:val="12"/>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Audio/video recordings, which can establish suspect presence or timelines</w:t>
      </w:r>
    </w:p>
    <w:p w14:paraId="5B720D9E" w14:textId="77777777" w:rsidR="00AB42DE" w:rsidRPr="00194005" w:rsidRDefault="00AB42DE" w:rsidP="00AB42DE">
      <w:pPr>
        <w:numPr>
          <w:ilvl w:val="0"/>
          <w:numId w:val="12"/>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Device access logs, pinpointing when and how a device was used</w:t>
      </w:r>
    </w:p>
    <w:p w14:paraId="41815C43" w14:textId="77777777" w:rsidR="00AB42DE" w:rsidRPr="00194005" w:rsidRDefault="00AB42DE" w:rsidP="00AB42DE">
      <w:pPr>
        <w:numPr>
          <w:ilvl w:val="0"/>
          <w:numId w:val="12"/>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lastRenderedPageBreak/>
        <w:t>Cloud-linked activity history, retrievable with proper legal authority</w:t>
      </w:r>
    </w:p>
    <w:p w14:paraId="1ABD4577" w14:textId="77777777" w:rsidR="00AB42DE" w:rsidRPr="00194005" w:rsidRDefault="00AB42DE" w:rsidP="00AB42DE">
      <w:pPr>
        <w:spacing w:line="360" w:lineRule="auto"/>
        <w:jc w:val="both"/>
        <w:rPr>
          <w:rFonts w:ascii="Times New Roman" w:hAnsi="Times New Roman" w:cs="Times New Roman"/>
          <w:b/>
          <w:bCs/>
          <w:i/>
          <w:iCs/>
          <w:sz w:val="32"/>
          <w:szCs w:val="32"/>
        </w:rPr>
      </w:pPr>
      <w:r w:rsidRPr="00194005">
        <w:rPr>
          <w:rFonts w:ascii="Apple Color Emoji" w:hAnsi="Apple Color Emoji" w:cs="Apple Color Emoji"/>
          <w:b/>
          <w:bCs/>
          <w:i/>
          <w:iCs/>
          <w:sz w:val="32"/>
          <w:szCs w:val="32"/>
        </w:rPr>
        <w:t>💡</w:t>
      </w:r>
      <w:r w:rsidRPr="00194005">
        <w:rPr>
          <w:rFonts w:ascii="Times New Roman" w:hAnsi="Times New Roman" w:cs="Times New Roman"/>
          <w:b/>
          <w:bCs/>
          <w:i/>
          <w:iCs/>
          <w:sz w:val="32"/>
          <w:szCs w:val="32"/>
        </w:rPr>
        <w:t xml:space="preserve"> In some cases, IoT data may also help verify alibis or detect anomalies in a suspect’s movement.</w:t>
      </w:r>
    </w:p>
    <w:p w14:paraId="6A1EB8E0"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32CC3C07">
          <v:rect id="_x0000_i1038" alt="" style="width:435.25pt;height:.05pt;mso-width-percent:0;mso-height-percent:0;mso-width-percent:0;mso-height-percent:0" o:hrpct="930" o:hralign="center" o:hrstd="t" o:hr="t" fillcolor="#a0a0a0" stroked="f"/>
        </w:pict>
      </w:r>
    </w:p>
    <w:p w14:paraId="37A750A1"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Evidence Handling Note</w:t>
      </w:r>
    </w:p>
    <w:p w14:paraId="28CCEF81"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Each of these digital assets must be:</w:t>
      </w:r>
    </w:p>
    <w:p w14:paraId="590CF87C" w14:textId="77777777" w:rsidR="00AB42DE" w:rsidRPr="00194005" w:rsidRDefault="00AB42DE" w:rsidP="00AB42DE">
      <w:pPr>
        <w:numPr>
          <w:ilvl w:val="0"/>
          <w:numId w:val="13"/>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Identified accurately, without overlooking hidden or disguised devices</w:t>
      </w:r>
    </w:p>
    <w:p w14:paraId="61A597F8" w14:textId="77777777" w:rsidR="00AB42DE" w:rsidRPr="00194005" w:rsidRDefault="00AB42DE" w:rsidP="00AB42DE">
      <w:pPr>
        <w:numPr>
          <w:ilvl w:val="0"/>
          <w:numId w:val="13"/>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Seized using appropriate forensic tools, avoiding manual handling or powering down unless necessary</w:t>
      </w:r>
    </w:p>
    <w:p w14:paraId="28C3E6A7" w14:textId="77777777" w:rsidR="00AB42DE" w:rsidRPr="00194005" w:rsidRDefault="00AB42DE" w:rsidP="00AB42DE">
      <w:pPr>
        <w:numPr>
          <w:ilvl w:val="0"/>
          <w:numId w:val="13"/>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Documented thoroughly, including make/model, serial numbers, condition, and location</w:t>
      </w:r>
    </w:p>
    <w:p w14:paraId="7E745B2C" w14:textId="77777777" w:rsidR="00AB42DE" w:rsidRPr="00194005" w:rsidRDefault="00AB42DE" w:rsidP="00AB42DE">
      <w:pPr>
        <w:numPr>
          <w:ilvl w:val="0"/>
          <w:numId w:val="13"/>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Preserved in original state, with imaging and hashing performed as early as possible</w:t>
      </w:r>
    </w:p>
    <w:p w14:paraId="50DAA444" w14:textId="77777777" w:rsidR="00AB42DE" w:rsidRPr="00194005" w:rsidRDefault="00AB42DE" w:rsidP="00AB42DE">
      <w:pPr>
        <w:numPr>
          <w:ilvl w:val="0"/>
          <w:numId w:val="13"/>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Transported securely to the forensic lab with chain of custody maintained throughout</w:t>
      </w:r>
    </w:p>
    <w:p w14:paraId="55FCC3DB" w14:textId="3A40DA5E"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Failing to handle any of these categories with precision can result in inadmissibility of crucial evidence or even compromise the entire investigation. Therefore, investigative officers must stay vigilant and up-to-date with evolving forms of digital storage and connectivity.</w:t>
      </w:r>
    </w:p>
    <w:p w14:paraId="6B7F748F" w14:textId="64A62C42"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7268F818">
          <v:rect id="_x0000_i1039" alt="" style="width:435.25pt;height:.05pt;mso-width-percent:0;mso-height-percent:0;mso-width-percent:0;mso-height-percent:0" o:hrpct="930" o:hralign="center" o:hrstd="t" o:hr="t" fillcolor="#a0a0a0" stroked="f"/>
        </w:pict>
      </w:r>
    </w:p>
    <w:p w14:paraId="13A78EB5"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lastRenderedPageBreak/>
        <w:t>5. Chain of Custody &amp; Documentation</w:t>
      </w:r>
    </w:p>
    <w:p w14:paraId="1E1A79DE"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Maintaining the chain of custody is one of the most critical components of digital evidence handling. It involves thorough documentation of </w:t>
      </w:r>
      <w:r w:rsidRPr="00194005">
        <w:rPr>
          <w:rFonts w:ascii="Times New Roman" w:hAnsi="Times New Roman" w:cs="Times New Roman"/>
          <w:b/>
          <w:bCs/>
          <w:sz w:val="32"/>
          <w:szCs w:val="32"/>
        </w:rPr>
        <w:t>who collected what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when</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from where</w:t>
      </w:r>
      <w:r w:rsidRPr="00194005">
        <w:rPr>
          <w:rFonts w:ascii="Times New Roman" w:hAnsi="Times New Roman" w:cs="Times New Roman"/>
          <w:sz w:val="32"/>
          <w:szCs w:val="32"/>
        </w:rPr>
        <w:t xml:space="preserve">, and </w:t>
      </w:r>
      <w:r w:rsidRPr="00194005">
        <w:rPr>
          <w:rFonts w:ascii="Times New Roman" w:hAnsi="Times New Roman" w:cs="Times New Roman"/>
          <w:b/>
          <w:bCs/>
          <w:sz w:val="32"/>
          <w:szCs w:val="32"/>
        </w:rPr>
        <w:t>how it was stored or transferred</w:t>
      </w:r>
      <w:r w:rsidRPr="00194005">
        <w:rPr>
          <w:rFonts w:ascii="Times New Roman" w:hAnsi="Times New Roman" w:cs="Times New Roman"/>
          <w:sz w:val="32"/>
          <w:szCs w:val="32"/>
        </w:rPr>
        <w:t>.</w:t>
      </w:r>
    </w:p>
    <w:p w14:paraId="78C1F164"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Chain of Custody Checklist:</w:t>
      </w:r>
    </w:p>
    <w:p w14:paraId="43568EED"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Assign a unique ID/tag to each device</w:t>
      </w:r>
    </w:p>
    <w:p w14:paraId="6AB5EED7"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Record time, date, location of seizure</w:t>
      </w:r>
    </w:p>
    <w:p w14:paraId="609898A7"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Note names/designations of officers collecting evidence</w:t>
      </w:r>
    </w:p>
    <w:p w14:paraId="592523BF"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List all individuals who handle the device post-seizure</w:t>
      </w:r>
    </w:p>
    <w:p w14:paraId="00D93181"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Use tamper-evident bags or containers for transportation</w:t>
      </w:r>
    </w:p>
    <w:p w14:paraId="274CD08C"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Include device condition and hash value (where applicable)</w:t>
      </w:r>
    </w:p>
    <w:p w14:paraId="48E9448E" w14:textId="77777777" w:rsidR="00AB42DE" w:rsidRPr="00194005" w:rsidRDefault="00AB42DE" w:rsidP="00AB42DE">
      <w:pPr>
        <w:numPr>
          <w:ilvl w:val="0"/>
          <w:numId w:val="4"/>
        </w:numPr>
        <w:spacing w:line="360" w:lineRule="auto"/>
        <w:jc w:val="both"/>
        <w:rPr>
          <w:rFonts w:ascii="Times New Roman" w:hAnsi="Times New Roman" w:cs="Times New Roman"/>
          <w:sz w:val="32"/>
          <w:szCs w:val="32"/>
        </w:rPr>
      </w:pPr>
      <w:r w:rsidRPr="00194005">
        <w:rPr>
          <w:rFonts w:ascii="Segoe UI Symbol" w:hAnsi="Segoe UI Symbol" w:cs="Segoe UI Symbol"/>
          <w:sz w:val="32"/>
          <w:szCs w:val="32"/>
        </w:rPr>
        <w:t>☐</w:t>
      </w:r>
      <w:r w:rsidRPr="00194005">
        <w:rPr>
          <w:rFonts w:ascii="Times New Roman" w:hAnsi="Times New Roman" w:cs="Times New Roman"/>
          <w:sz w:val="32"/>
          <w:szCs w:val="32"/>
        </w:rPr>
        <w:t xml:space="preserve"> Maintain a centralized logbook or digital trail</w:t>
      </w:r>
    </w:p>
    <w:p w14:paraId="37F7DBAF"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This documentation ensures </w:t>
      </w:r>
      <w:r w:rsidRPr="00194005">
        <w:rPr>
          <w:rFonts w:ascii="Times New Roman" w:hAnsi="Times New Roman" w:cs="Times New Roman"/>
          <w:b/>
          <w:bCs/>
          <w:sz w:val="32"/>
          <w:szCs w:val="32"/>
        </w:rPr>
        <w:t>credibility and admissibility</w:t>
      </w:r>
      <w:r w:rsidRPr="00194005">
        <w:rPr>
          <w:rFonts w:ascii="Times New Roman" w:hAnsi="Times New Roman" w:cs="Times New Roman"/>
          <w:sz w:val="32"/>
          <w:szCs w:val="32"/>
        </w:rPr>
        <w:t xml:space="preserve"> in court and helps defend against any challenges raised regarding the authenticity or mishandling of the evidence.</w:t>
      </w:r>
    </w:p>
    <w:p w14:paraId="3AB38D82"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4002AB87">
          <v:rect id="_x0000_i1040" alt="" style="width:435.25pt;height:.05pt;mso-width-percent:0;mso-height-percent:0;mso-width-percent:0;mso-height-percent:0" o:hrpct="930" o:hralign="center" o:hrstd="t" o:hr="t" fillcolor="#a0a0a0" stroked="f"/>
        </w:pict>
      </w:r>
    </w:p>
    <w:p w14:paraId="15489244" w14:textId="77777777" w:rsidR="00AB42DE" w:rsidRPr="00194005" w:rsidRDefault="00AB42DE" w:rsidP="00AB42DE">
      <w:pPr>
        <w:spacing w:line="360" w:lineRule="auto"/>
        <w:jc w:val="both"/>
        <w:rPr>
          <w:rFonts w:ascii="Times New Roman" w:hAnsi="Times New Roman" w:cs="Times New Roman"/>
          <w:b/>
          <w:bCs/>
          <w:sz w:val="32"/>
          <w:szCs w:val="32"/>
        </w:rPr>
      </w:pPr>
      <w:r w:rsidRPr="00194005">
        <w:rPr>
          <w:rFonts w:ascii="Times New Roman" w:hAnsi="Times New Roman" w:cs="Times New Roman"/>
          <w:b/>
          <w:bCs/>
          <w:sz w:val="32"/>
          <w:szCs w:val="32"/>
        </w:rPr>
        <w:t>6. Transfer to Forensics Lab</w:t>
      </w:r>
    </w:p>
    <w:p w14:paraId="1C1FEC9C"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 xml:space="preserve">Once seized, the evidence must be transported securely to a designated forensic analysis facility. Handling must be minimal, and each </w:t>
      </w:r>
      <w:r w:rsidRPr="00194005">
        <w:rPr>
          <w:rFonts w:ascii="Times New Roman" w:hAnsi="Times New Roman" w:cs="Times New Roman"/>
          <w:sz w:val="32"/>
          <w:szCs w:val="32"/>
        </w:rPr>
        <w:lastRenderedPageBreak/>
        <w:t>movement should be logged. Ideally, all devices should be transported by trained personnel or in secure, sealed containers.</w:t>
      </w:r>
    </w:p>
    <w:p w14:paraId="0FC4CF1A" w14:textId="77777777" w:rsidR="00AB42DE" w:rsidRPr="00194005" w:rsidRDefault="00AB42DE" w:rsidP="00AB42DE">
      <w:pPr>
        <w:spacing w:line="360" w:lineRule="auto"/>
        <w:jc w:val="both"/>
        <w:rPr>
          <w:rFonts w:ascii="Times New Roman" w:hAnsi="Times New Roman" w:cs="Times New Roman"/>
          <w:sz w:val="32"/>
          <w:szCs w:val="32"/>
        </w:rPr>
      </w:pPr>
      <w:r w:rsidRPr="00194005">
        <w:rPr>
          <w:rFonts w:ascii="Apple Color Emoji" w:hAnsi="Apple Color Emoji" w:cs="Apple Color Emoji"/>
          <w:sz w:val="32"/>
          <w:szCs w:val="32"/>
        </w:rPr>
        <w:t>🚚</w:t>
      </w:r>
      <w:r w:rsidRPr="00194005">
        <w:rPr>
          <w:rFonts w:ascii="Times New Roman" w:hAnsi="Times New Roman" w:cs="Times New Roman"/>
          <w:sz w:val="32"/>
          <w:szCs w:val="32"/>
        </w:rPr>
        <w:t xml:space="preserve"> </w:t>
      </w:r>
      <w:r w:rsidRPr="00194005">
        <w:rPr>
          <w:rFonts w:ascii="Times New Roman" w:hAnsi="Times New Roman" w:cs="Times New Roman"/>
          <w:b/>
          <w:bCs/>
          <w:sz w:val="32"/>
          <w:szCs w:val="32"/>
        </w:rPr>
        <w:t>Transport Protocols:</w:t>
      </w:r>
    </w:p>
    <w:p w14:paraId="0C49D54A" w14:textId="72A33A52" w:rsidR="00AB42DE" w:rsidRPr="00194005" w:rsidRDefault="00AB42DE" w:rsidP="00AB42DE">
      <w:pPr>
        <w:numPr>
          <w:ilvl w:val="0"/>
          <w:numId w:val="5"/>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Use sealed evidence bags labelled with case ID</w:t>
      </w:r>
    </w:p>
    <w:p w14:paraId="07883E3F" w14:textId="77777777" w:rsidR="00AB42DE" w:rsidRPr="00194005" w:rsidRDefault="00AB42DE" w:rsidP="00AB42DE">
      <w:pPr>
        <w:numPr>
          <w:ilvl w:val="0"/>
          <w:numId w:val="5"/>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Avoid exposure to extreme temperatures or magnetic fields</w:t>
      </w:r>
    </w:p>
    <w:p w14:paraId="10C89982" w14:textId="77777777" w:rsidR="00AB42DE" w:rsidRPr="00194005" w:rsidRDefault="00AB42DE" w:rsidP="00AB42DE">
      <w:pPr>
        <w:numPr>
          <w:ilvl w:val="0"/>
          <w:numId w:val="5"/>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Ensure secure vehicle transport with minimal stops</w:t>
      </w:r>
    </w:p>
    <w:p w14:paraId="7AB5C08D" w14:textId="77777777" w:rsidR="00AB42DE" w:rsidRPr="00194005" w:rsidRDefault="00AB42DE" w:rsidP="00AB42DE">
      <w:pPr>
        <w:numPr>
          <w:ilvl w:val="0"/>
          <w:numId w:val="5"/>
        </w:numPr>
        <w:spacing w:line="360" w:lineRule="auto"/>
        <w:jc w:val="both"/>
        <w:rPr>
          <w:rFonts w:ascii="Times New Roman" w:hAnsi="Times New Roman" w:cs="Times New Roman"/>
          <w:sz w:val="32"/>
          <w:szCs w:val="32"/>
        </w:rPr>
      </w:pPr>
      <w:r w:rsidRPr="00194005">
        <w:rPr>
          <w:rFonts w:ascii="Times New Roman" w:hAnsi="Times New Roman" w:cs="Times New Roman"/>
          <w:sz w:val="32"/>
          <w:szCs w:val="32"/>
        </w:rPr>
        <w:t>Log handover at both dispatch and receiving ends</w:t>
      </w:r>
    </w:p>
    <w:p w14:paraId="29A8E77F" w14:textId="77777777" w:rsidR="00AB42DE" w:rsidRPr="00194005" w:rsidRDefault="00BF6E1A" w:rsidP="00AB42DE">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w14:anchorId="417B28CB">
          <v:rect id="_x0000_i1041" alt="" style="width:435.25pt;height:.05pt;mso-width-percent:0;mso-height-percent:0;mso-width-percent:0;mso-height-percent:0" o:hrpct="930" o:hralign="center" o:hrstd="t" o:hr="t" fillcolor="#a0a0a0" stroked="f"/>
        </w:pict>
      </w:r>
    </w:p>
    <w:p w14:paraId="7D6F082E" w14:textId="77777777" w:rsidR="00A360A4" w:rsidRPr="00194005" w:rsidRDefault="00A360A4" w:rsidP="00AB42DE">
      <w:pPr>
        <w:spacing w:line="360" w:lineRule="auto"/>
        <w:jc w:val="both"/>
        <w:rPr>
          <w:rFonts w:ascii="Times New Roman" w:hAnsi="Times New Roman" w:cs="Times New Roman"/>
          <w:sz w:val="32"/>
          <w:szCs w:val="32"/>
        </w:rPr>
      </w:pPr>
    </w:p>
    <w:sectPr w:rsidR="00A360A4" w:rsidRPr="0019400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03079" w14:textId="77777777" w:rsidR="00511F5D" w:rsidRDefault="00511F5D" w:rsidP="000E0291">
      <w:pPr>
        <w:spacing w:after="0" w:line="240" w:lineRule="auto"/>
      </w:pPr>
      <w:r>
        <w:separator/>
      </w:r>
    </w:p>
  </w:endnote>
  <w:endnote w:type="continuationSeparator" w:id="0">
    <w:p w14:paraId="0902303D" w14:textId="77777777" w:rsidR="00511F5D" w:rsidRDefault="00511F5D" w:rsidP="000E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030238"/>
      <w:docPartObj>
        <w:docPartGallery w:val="Page Numbers (Bottom of Page)"/>
        <w:docPartUnique/>
      </w:docPartObj>
    </w:sdtPr>
    <w:sdtContent>
      <w:p w14:paraId="6D6FF5BC" w14:textId="12762D97" w:rsidR="00BF6E1A" w:rsidRDefault="00BF6E1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CCB702" w14:textId="77777777" w:rsidR="00BF6E1A" w:rsidRDefault="00BF6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E7E91" w14:textId="77777777" w:rsidR="00511F5D" w:rsidRDefault="00511F5D" w:rsidP="000E0291">
      <w:pPr>
        <w:spacing w:after="0" w:line="240" w:lineRule="auto"/>
      </w:pPr>
      <w:r>
        <w:separator/>
      </w:r>
    </w:p>
  </w:footnote>
  <w:footnote w:type="continuationSeparator" w:id="0">
    <w:p w14:paraId="4D619869" w14:textId="77777777" w:rsidR="00511F5D" w:rsidRDefault="00511F5D" w:rsidP="000E0291">
      <w:pPr>
        <w:spacing w:after="0" w:line="240" w:lineRule="auto"/>
      </w:pPr>
      <w:r>
        <w:continuationSeparator/>
      </w:r>
    </w:p>
  </w:footnote>
  <w:footnote w:id="1">
    <w:p w14:paraId="1DBF22CF" w14:textId="13AE8513" w:rsidR="000E0291" w:rsidRPr="000E0291" w:rsidRDefault="000E0291">
      <w:pPr>
        <w:pStyle w:val="FootnoteText"/>
        <w:rPr>
          <w:lang w:val="en-US"/>
        </w:rPr>
      </w:pPr>
      <w:r>
        <w:rPr>
          <w:rStyle w:val="FootnoteReference"/>
        </w:rPr>
        <w:footnoteRef/>
      </w:r>
      <w:r>
        <w:t xml:space="preserve"> </w:t>
      </w:r>
      <w:r w:rsidRPr="000E0291">
        <w:t xml:space="preserve">Federal Decree-Law No. 35 of 2022 on the Criminal Procedure Law, Federal Decree-Law No. 34 of 2021 concerning Combating </w:t>
      </w:r>
      <w:proofErr w:type="spellStart"/>
      <w:r w:rsidRPr="000E0291">
        <w:t>Rumors</w:t>
      </w:r>
      <w:proofErr w:type="spellEnd"/>
      <w:r w:rsidRPr="000E0291">
        <w:t> and Cybercrimes</w:t>
      </w:r>
    </w:p>
  </w:footnote>
  <w:footnote w:id="2">
    <w:p w14:paraId="476FD083" w14:textId="43500DE3" w:rsidR="000E0291" w:rsidRPr="000E0291" w:rsidRDefault="000E0291">
      <w:pPr>
        <w:pStyle w:val="FootnoteText"/>
        <w:rPr>
          <w:lang w:val="en-US"/>
        </w:rPr>
      </w:pPr>
      <w:r>
        <w:rPr>
          <w:rStyle w:val="FootnoteReference"/>
        </w:rPr>
        <w:footnoteRef/>
      </w:r>
      <w:r>
        <w:t xml:space="preserve"> </w:t>
      </w:r>
      <w:r w:rsidRPr="000E0291">
        <w:t>Federal Decree-Law No. 35 of 2022 on Criminal Procedure Law, art 45 &amp; 46</w:t>
      </w:r>
    </w:p>
  </w:footnote>
  <w:footnote w:id="3">
    <w:p w14:paraId="367E74C4" w14:textId="2CF24748" w:rsidR="000E0291" w:rsidRPr="000E0291" w:rsidRDefault="000E0291">
      <w:pPr>
        <w:pStyle w:val="FootnoteText"/>
        <w:rPr>
          <w:lang w:val="en-US"/>
        </w:rPr>
      </w:pPr>
      <w:r>
        <w:rPr>
          <w:rStyle w:val="FootnoteReference"/>
        </w:rPr>
        <w:footnoteRef/>
      </w:r>
      <w:r>
        <w:t xml:space="preserve"> </w:t>
      </w:r>
      <w:r w:rsidRPr="000E0291">
        <w:t>Federal Decree-Law No. 34 of 2021 (Cybercrime Law</w:t>
      </w:r>
      <w:proofErr w:type="gramStart"/>
      <w:r w:rsidRPr="000E0291">
        <w:t>) ,</w:t>
      </w:r>
      <w:proofErr w:type="gramEnd"/>
      <w:r w:rsidRPr="000E0291">
        <w:t> art 48 &amp; 50</w:t>
      </w:r>
    </w:p>
  </w:footnote>
  <w:footnote w:id="4">
    <w:p w14:paraId="445AA3C7" w14:textId="087F5A14" w:rsidR="00A8736F" w:rsidRPr="00A8736F" w:rsidRDefault="00A8736F">
      <w:pPr>
        <w:pStyle w:val="FootnoteText"/>
        <w:rPr>
          <w:lang w:val="en-US"/>
        </w:rPr>
      </w:pPr>
      <w:r>
        <w:rPr>
          <w:rStyle w:val="FootnoteReference"/>
        </w:rPr>
        <w:footnoteRef/>
      </w:r>
      <w:r>
        <w:t xml:space="preserve"> </w:t>
      </w:r>
      <w:r w:rsidRPr="00A8736F">
        <w:t>Federal Decree-Law No. 35 of 2022 on the Criminal Procedure </w:t>
      </w:r>
      <w:proofErr w:type="gramStart"/>
      <w:r w:rsidRPr="00A8736F">
        <w:t>Law ,</w:t>
      </w:r>
      <w:proofErr w:type="gramEnd"/>
      <w:r w:rsidRPr="00A8736F">
        <w:t> art47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15FC"/>
    <w:multiLevelType w:val="multilevel"/>
    <w:tmpl w:val="2AAC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04561"/>
    <w:multiLevelType w:val="multilevel"/>
    <w:tmpl w:val="D4F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052B7"/>
    <w:multiLevelType w:val="multilevel"/>
    <w:tmpl w:val="119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1472F"/>
    <w:multiLevelType w:val="multilevel"/>
    <w:tmpl w:val="3A62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1266B"/>
    <w:multiLevelType w:val="multilevel"/>
    <w:tmpl w:val="1234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56DB6"/>
    <w:multiLevelType w:val="multilevel"/>
    <w:tmpl w:val="45F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42A88"/>
    <w:multiLevelType w:val="multilevel"/>
    <w:tmpl w:val="A51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06988"/>
    <w:multiLevelType w:val="multilevel"/>
    <w:tmpl w:val="B48E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97084"/>
    <w:multiLevelType w:val="multilevel"/>
    <w:tmpl w:val="7D12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A1E90"/>
    <w:multiLevelType w:val="multilevel"/>
    <w:tmpl w:val="8826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B90"/>
    <w:multiLevelType w:val="multilevel"/>
    <w:tmpl w:val="7F9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A3DEF"/>
    <w:multiLevelType w:val="multilevel"/>
    <w:tmpl w:val="687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94F4F"/>
    <w:multiLevelType w:val="multilevel"/>
    <w:tmpl w:val="B19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B188C"/>
    <w:multiLevelType w:val="multilevel"/>
    <w:tmpl w:val="DE5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90245"/>
    <w:multiLevelType w:val="multilevel"/>
    <w:tmpl w:val="65F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760EA"/>
    <w:multiLevelType w:val="multilevel"/>
    <w:tmpl w:val="9CCC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852EA"/>
    <w:multiLevelType w:val="multilevel"/>
    <w:tmpl w:val="444C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650946">
    <w:abstractNumId w:val="5"/>
  </w:num>
  <w:num w:numId="2" w16cid:durableId="754278187">
    <w:abstractNumId w:val="7"/>
  </w:num>
  <w:num w:numId="3" w16cid:durableId="2013675633">
    <w:abstractNumId w:val="8"/>
  </w:num>
  <w:num w:numId="4" w16cid:durableId="1232542641">
    <w:abstractNumId w:val="14"/>
  </w:num>
  <w:num w:numId="5" w16cid:durableId="2023507185">
    <w:abstractNumId w:val="3"/>
  </w:num>
  <w:num w:numId="6" w16cid:durableId="1706247583">
    <w:abstractNumId w:val="2"/>
  </w:num>
  <w:num w:numId="7" w16cid:durableId="606156175">
    <w:abstractNumId w:val="10"/>
  </w:num>
  <w:num w:numId="8" w16cid:durableId="380785171">
    <w:abstractNumId w:val="16"/>
  </w:num>
  <w:num w:numId="9" w16cid:durableId="815879328">
    <w:abstractNumId w:val="11"/>
  </w:num>
  <w:num w:numId="10" w16cid:durableId="726950813">
    <w:abstractNumId w:val="12"/>
  </w:num>
  <w:num w:numId="11" w16cid:durableId="498930131">
    <w:abstractNumId w:val="13"/>
  </w:num>
  <w:num w:numId="12" w16cid:durableId="1010789380">
    <w:abstractNumId w:val="1"/>
  </w:num>
  <w:num w:numId="13" w16cid:durableId="1450050574">
    <w:abstractNumId w:val="6"/>
  </w:num>
  <w:num w:numId="14" w16cid:durableId="260526962">
    <w:abstractNumId w:val="4"/>
  </w:num>
  <w:num w:numId="15" w16cid:durableId="588462249">
    <w:abstractNumId w:val="0"/>
  </w:num>
  <w:num w:numId="16" w16cid:durableId="321130464">
    <w:abstractNumId w:val="15"/>
  </w:num>
  <w:num w:numId="17" w16cid:durableId="1052849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DE"/>
    <w:rsid w:val="000E0291"/>
    <w:rsid w:val="00115B00"/>
    <w:rsid w:val="00194005"/>
    <w:rsid w:val="001957A6"/>
    <w:rsid w:val="003A1493"/>
    <w:rsid w:val="004F132E"/>
    <w:rsid w:val="00511F5D"/>
    <w:rsid w:val="00710192"/>
    <w:rsid w:val="00A360A4"/>
    <w:rsid w:val="00A447FC"/>
    <w:rsid w:val="00A8736F"/>
    <w:rsid w:val="00AB42DE"/>
    <w:rsid w:val="00BF6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40AC1AF"/>
  <w15:chartTrackingRefBased/>
  <w15:docId w15:val="{DB72FC64-F89F-4D4C-AB44-89423D2B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0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291"/>
    <w:rPr>
      <w:sz w:val="20"/>
      <w:szCs w:val="20"/>
    </w:rPr>
  </w:style>
  <w:style w:type="character" w:styleId="FootnoteReference">
    <w:name w:val="footnote reference"/>
    <w:basedOn w:val="DefaultParagraphFont"/>
    <w:uiPriority w:val="99"/>
    <w:semiHidden/>
    <w:unhideWhenUsed/>
    <w:rsid w:val="000E0291"/>
    <w:rPr>
      <w:vertAlign w:val="superscript"/>
    </w:rPr>
  </w:style>
  <w:style w:type="paragraph" w:styleId="Header">
    <w:name w:val="header"/>
    <w:basedOn w:val="Normal"/>
    <w:link w:val="HeaderChar"/>
    <w:uiPriority w:val="99"/>
    <w:unhideWhenUsed/>
    <w:rsid w:val="00BF6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E1A"/>
  </w:style>
  <w:style w:type="paragraph" w:styleId="Footer">
    <w:name w:val="footer"/>
    <w:basedOn w:val="Normal"/>
    <w:link w:val="FooterChar"/>
    <w:uiPriority w:val="99"/>
    <w:unhideWhenUsed/>
    <w:rsid w:val="00BF6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18558">
      <w:bodyDiv w:val="1"/>
      <w:marLeft w:val="0"/>
      <w:marRight w:val="0"/>
      <w:marTop w:val="0"/>
      <w:marBottom w:val="0"/>
      <w:divBdr>
        <w:top w:val="none" w:sz="0" w:space="0" w:color="auto"/>
        <w:left w:val="none" w:sz="0" w:space="0" w:color="auto"/>
        <w:bottom w:val="none" w:sz="0" w:space="0" w:color="auto"/>
        <w:right w:val="none" w:sz="0" w:space="0" w:color="auto"/>
      </w:divBdr>
    </w:div>
    <w:div w:id="520516043">
      <w:bodyDiv w:val="1"/>
      <w:marLeft w:val="0"/>
      <w:marRight w:val="0"/>
      <w:marTop w:val="0"/>
      <w:marBottom w:val="0"/>
      <w:divBdr>
        <w:top w:val="none" w:sz="0" w:space="0" w:color="auto"/>
        <w:left w:val="none" w:sz="0" w:space="0" w:color="auto"/>
        <w:bottom w:val="none" w:sz="0" w:space="0" w:color="auto"/>
        <w:right w:val="none" w:sz="0" w:space="0" w:color="auto"/>
      </w:divBdr>
    </w:div>
    <w:div w:id="1139147915">
      <w:bodyDiv w:val="1"/>
      <w:marLeft w:val="0"/>
      <w:marRight w:val="0"/>
      <w:marTop w:val="0"/>
      <w:marBottom w:val="0"/>
      <w:divBdr>
        <w:top w:val="none" w:sz="0" w:space="0" w:color="auto"/>
        <w:left w:val="none" w:sz="0" w:space="0" w:color="auto"/>
        <w:bottom w:val="none" w:sz="0" w:space="0" w:color="auto"/>
        <w:right w:val="none" w:sz="0" w:space="0" w:color="auto"/>
      </w:divBdr>
    </w:div>
    <w:div w:id="1484467919">
      <w:bodyDiv w:val="1"/>
      <w:marLeft w:val="0"/>
      <w:marRight w:val="0"/>
      <w:marTop w:val="0"/>
      <w:marBottom w:val="0"/>
      <w:divBdr>
        <w:top w:val="none" w:sz="0" w:space="0" w:color="auto"/>
        <w:left w:val="none" w:sz="0" w:space="0" w:color="auto"/>
        <w:bottom w:val="none" w:sz="0" w:space="0" w:color="auto"/>
        <w:right w:val="none" w:sz="0" w:space="0" w:color="auto"/>
      </w:divBdr>
      <w:divsChild>
        <w:div w:id="687367935">
          <w:marLeft w:val="0"/>
          <w:marRight w:val="0"/>
          <w:marTop w:val="0"/>
          <w:marBottom w:val="0"/>
          <w:divBdr>
            <w:top w:val="none" w:sz="0" w:space="0" w:color="auto"/>
            <w:left w:val="none" w:sz="0" w:space="0" w:color="auto"/>
            <w:bottom w:val="none" w:sz="0" w:space="0" w:color="auto"/>
            <w:right w:val="none" w:sz="0" w:space="0" w:color="auto"/>
          </w:divBdr>
          <w:divsChild>
            <w:div w:id="813571865">
              <w:marLeft w:val="0"/>
              <w:marRight w:val="0"/>
              <w:marTop w:val="0"/>
              <w:marBottom w:val="0"/>
              <w:divBdr>
                <w:top w:val="none" w:sz="0" w:space="0" w:color="auto"/>
                <w:left w:val="none" w:sz="0" w:space="0" w:color="auto"/>
                <w:bottom w:val="none" w:sz="0" w:space="0" w:color="auto"/>
                <w:right w:val="none" w:sz="0" w:space="0" w:color="auto"/>
              </w:divBdr>
            </w:div>
            <w:div w:id="518468655">
              <w:marLeft w:val="0"/>
              <w:marRight w:val="0"/>
              <w:marTop w:val="0"/>
              <w:marBottom w:val="0"/>
              <w:divBdr>
                <w:top w:val="none" w:sz="0" w:space="0" w:color="auto"/>
                <w:left w:val="none" w:sz="0" w:space="0" w:color="auto"/>
                <w:bottom w:val="none" w:sz="0" w:space="0" w:color="auto"/>
                <w:right w:val="none" w:sz="0" w:space="0" w:color="auto"/>
              </w:divBdr>
              <w:divsChild>
                <w:div w:id="1900818993">
                  <w:marLeft w:val="0"/>
                  <w:marRight w:val="0"/>
                  <w:marTop w:val="0"/>
                  <w:marBottom w:val="0"/>
                  <w:divBdr>
                    <w:top w:val="none" w:sz="0" w:space="0" w:color="auto"/>
                    <w:left w:val="none" w:sz="0" w:space="0" w:color="auto"/>
                    <w:bottom w:val="none" w:sz="0" w:space="0" w:color="auto"/>
                    <w:right w:val="none" w:sz="0" w:space="0" w:color="auto"/>
                  </w:divBdr>
                  <w:divsChild>
                    <w:div w:id="6074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0442">
      <w:bodyDiv w:val="1"/>
      <w:marLeft w:val="0"/>
      <w:marRight w:val="0"/>
      <w:marTop w:val="0"/>
      <w:marBottom w:val="0"/>
      <w:divBdr>
        <w:top w:val="none" w:sz="0" w:space="0" w:color="auto"/>
        <w:left w:val="none" w:sz="0" w:space="0" w:color="auto"/>
        <w:bottom w:val="none" w:sz="0" w:space="0" w:color="auto"/>
        <w:right w:val="none" w:sz="0" w:space="0" w:color="auto"/>
      </w:divBdr>
      <w:divsChild>
        <w:div w:id="641347970">
          <w:marLeft w:val="0"/>
          <w:marRight w:val="0"/>
          <w:marTop w:val="0"/>
          <w:marBottom w:val="0"/>
          <w:divBdr>
            <w:top w:val="none" w:sz="0" w:space="0" w:color="auto"/>
            <w:left w:val="none" w:sz="0" w:space="0" w:color="auto"/>
            <w:bottom w:val="none" w:sz="0" w:space="0" w:color="auto"/>
            <w:right w:val="none" w:sz="0" w:space="0" w:color="auto"/>
          </w:divBdr>
          <w:divsChild>
            <w:div w:id="1010445294">
              <w:marLeft w:val="0"/>
              <w:marRight w:val="0"/>
              <w:marTop w:val="0"/>
              <w:marBottom w:val="0"/>
              <w:divBdr>
                <w:top w:val="none" w:sz="0" w:space="0" w:color="auto"/>
                <w:left w:val="none" w:sz="0" w:space="0" w:color="auto"/>
                <w:bottom w:val="none" w:sz="0" w:space="0" w:color="auto"/>
                <w:right w:val="none" w:sz="0" w:space="0" w:color="auto"/>
              </w:divBdr>
            </w:div>
            <w:div w:id="1268661752">
              <w:marLeft w:val="0"/>
              <w:marRight w:val="0"/>
              <w:marTop w:val="0"/>
              <w:marBottom w:val="0"/>
              <w:divBdr>
                <w:top w:val="none" w:sz="0" w:space="0" w:color="auto"/>
                <w:left w:val="none" w:sz="0" w:space="0" w:color="auto"/>
                <w:bottom w:val="none" w:sz="0" w:space="0" w:color="auto"/>
                <w:right w:val="none" w:sz="0" w:space="0" w:color="auto"/>
              </w:divBdr>
              <w:divsChild>
                <w:div w:id="134102556">
                  <w:marLeft w:val="0"/>
                  <w:marRight w:val="0"/>
                  <w:marTop w:val="0"/>
                  <w:marBottom w:val="0"/>
                  <w:divBdr>
                    <w:top w:val="none" w:sz="0" w:space="0" w:color="auto"/>
                    <w:left w:val="none" w:sz="0" w:space="0" w:color="auto"/>
                    <w:bottom w:val="none" w:sz="0" w:space="0" w:color="auto"/>
                    <w:right w:val="none" w:sz="0" w:space="0" w:color="auto"/>
                  </w:divBdr>
                  <w:divsChild>
                    <w:div w:id="1613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BE301-44B3-4B54-8D5D-1FC70D0A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2</cp:revision>
  <dcterms:created xsi:type="dcterms:W3CDTF">2025-05-02T18:36:00Z</dcterms:created>
  <dcterms:modified xsi:type="dcterms:W3CDTF">2025-05-02T18:36:00Z</dcterms:modified>
</cp:coreProperties>
</file>