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STRATEGIC PLANNING AND DATA ANALYSIS FRAMEWORK</w:t>
        <w:br/>
      </w:r>
      <w:r>
        <w:rPr>
          <w:b/>
          <w:sz w:val="36"/>
        </w:rPr>
        <w:t>E-Governance and Digital Public Services</w:t>
      </w:r>
    </w:p>
    <w:p>
      <w:pPr>
        <w:jc w:val="center"/>
      </w:pPr>
      <w:r>
        <w:rPr>
          <w:i/>
        </w:rPr>
        <w:t>Week 1 Task | Strategic Plan, Analytical Methodology, Timeline and Risk Framework</w:t>
      </w:r>
    </w:p>
    <w:p/>
    <w:p>
      <w:pPr>
        <w:pStyle w:val="Heading1"/>
      </w:pPr>
      <w:r>
        <w:t>1. Executive Summary</w:t>
      </w:r>
    </w:p>
    <w:p>
      <w:r>
        <w:t>This strategic plan establishes a practical framework for analysing data generated by e-governance and digital public services. The proposed approach connects service-usage data, transaction records, citizen feedback, operational indicators and relevant demographic or geographic attributes to identify service bottlenecks, understand user engagement, improve service quality and support evidence-based decision-making.</w:t>
      </w:r>
    </w:p>
    <w:p>
      <w:r>
        <w:t>Current international guidance highlights that digital public infrastructure, interoperability, trustworthy data governance and user-centred design are foundational to effective digital government. The OECD's 2026 Digital Government Outlook also identifies data quality, data reuse, impact measurement and user adoption as continuing implementation priorities. These findings inform the framework proposed in this document.</w:t>
      </w:r>
    </w:p>
    <w:p>
      <w:pPr>
        <w:pStyle w:val="Heading1"/>
      </w:pPr>
      <w:r>
        <w:t>2. Background and Current Trends</w:t>
      </w:r>
    </w:p>
    <w:p>
      <w:r>
        <w:t>Governments increasingly use digital identity, online service portals, digital payments, data-sharing platforms, mobile applications and integrated service gateways. Digital public infrastructure can reduce duplication and enable more coherent service delivery when systems are interoperable and appropriately governed.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Trend</w:t>
            </w:r>
          </w:p>
        </w:tc>
        <w:tc>
          <w:tcPr>
            <w:tcW w:type="dxa" w:w="4968"/>
            <w:shd w:fill="D9EAF7"/>
            <w:vAlign w:val="center"/>
          </w:tcPr>
          <w:p>
            <w:r>
              <w:rPr>
                <w:b/>
              </w:rPr>
              <w:t>Implication for Data Analysis</w:t>
            </w:r>
          </w:p>
        </w:tc>
      </w:tr>
      <w:tr>
        <w:tc>
          <w:tcPr>
            <w:tcW w:type="dxa" w:w="4968"/>
            <w:vAlign w:val="center"/>
          </w:tcPr>
          <w:p>
            <w:r>
              <w:t>Digital public infrastructure</w:t>
            </w:r>
          </w:p>
        </w:tc>
        <w:tc>
          <w:tcPr>
            <w:tcW w:type="dxa" w:w="4968"/>
            <w:vAlign w:val="center"/>
          </w:tcPr>
          <w:p>
            <w:r>
              <w:t>Analyse cross-service journeys, transaction volumes, reliability and interoperability.</w:t>
            </w:r>
          </w:p>
        </w:tc>
      </w:tr>
      <w:tr>
        <w:tc>
          <w:tcPr>
            <w:tcW w:type="dxa" w:w="4968"/>
            <w:vAlign w:val="center"/>
          </w:tcPr>
          <w:p>
            <w:r>
              <w:t>User-centred digital services</w:t>
            </w:r>
          </w:p>
        </w:tc>
        <w:tc>
          <w:tcPr>
            <w:tcW w:type="dxa" w:w="4968"/>
            <w:vAlign w:val="center"/>
          </w:tcPr>
          <w:p>
            <w:r>
              <w:t>Measure completion rates, satisfaction, accessibility and points of user drop-off.</w:t>
            </w:r>
          </w:p>
        </w:tc>
      </w:tr>
      <w:tr>
        <w:tc>
          <w:tcPr>
            <w:tcW w:type="dxa" w:w="4968"/>
            <w:vAlign w:val="center"/>
          </w:tcPr>
          <w:p>
            <w:r>
              <w:t>Data-driven government</w:t>
            </w:r>
          </w:p>
        </w:tc>
        <w:tc>
          <w:tcPr>
            <w:tcW w:type="dxa" w:w="4968"/>
            <w:vAlign w:val="center"/>
          </w:tcPr>
          <w:p>
            <w:r>
              <w:t>Use operational and citizen data to support evidence-based service improvement.</w:t>
            </w:r>
          </w:p>
        </w:tc>
      </w:tr>
      <w:tr>
        <w:tc>
          <w:tcPr>
            <w:tcW w:type="dxa" w:w="4968"/>
            <w:vAlign w:val="center"/>
          </w:tcPr>
          <w:p>
            <w:r>
              <w:t>Responsible AI and analytics</w:t>
            </w:r>
          </w:p>
        </w:tc>
        <w:tc>
          <w:tcPr>
            <w:tcW w:type="dxa" w:w="4968"/>
            <w:vAlign w:val="center"/>
          </w:tcPr>
          <w:p>
            <w:r>
              <w:t>Assess data quality, bias, explainability, privacy and human oversight before advanced analytics.</w:t>
            </w:r>
          </w:p>
        </w:tc>
      </w:tr>
      <w:tr>
        <w:tc>
          <w:tcPr>
            <w:tcW w:type="dxa" w:w="4968"/>
            <w:vAlign w:val="center"/>
          </w:tcPr>
          <w:p>
            <w:r>
              <w:t>Open and reusable data</w:t>
            </w:r>
          </w:p>
        </w:tc>
        <w:tc>
          <w:tcPr>
            <w:tcW w:type="dxa" w:w="4968"/>
            <w:vAlign w:val="center"/>
          </w:tcPr>
          <w:p>
            <w:r>
              <w:t>Identify datasets suitable for transparency, research and service innovation while protecting sensitive information.</w:t>
            </w:r>
          </w:p>
        </w:tc>
      </w:tr>
      <w:tr>
        <w:tc>
          <w:tcPr>
            <w:tcW w:type="dxa" w:w="4968"/>
            <w:vAlign w:val="center"/>
          </w:tcPr>
          <w:p>
            <w:r>
              <w:t>Real-time monitoring</w:t>
            </w:r>
          </w:p>
        </w:tc>
        <w:tc>
          <w:tcPr>
            <w:tcW w:type="dxa" w:w="4968"/>
            <w:vAlign w:val="center"/>
          </w:tcPr>
          <w:p>
            <w:r>
              <w:t>Develop dashboards and alerts for service availability, backlog, response time and unusual patterns.</w:t>
            </w:r>
          </w:p>
        </w:tc>
      </w:tr>
    </w:tbl>
    <w:p>
      <w:r>
        <w:t>The OECD notes that many governments have data strategies, but practical data-quality management, reuse and impact measurement can lag behind policy commitments. citeturn0search2turn0search3</w:t>
      </w:r>
    </w:p>
    <w:p>
      <w:pPr>
        <w:pStyle w:val="Heading1"/>
      </w:pPr>
      <w:r>
        <w:t>3. Problem Statement</w:t>
      </w:r>
    </w:p>
    <w:p>
      <w:r>
        <w:t>Digital public services can generate large volumes of data, but data may remain distributed across departments, portals and legacy systems. Without a structured analytical framework, decision-makers may lack timely evidence about service demand, user behaviour, operational delays, accessibility barriers and outcomes. The project therefore proposes a repeatable method for converting service data into actionable insights while maintaining privacy, security, data quality and accountability.</w:t>
      </w:r>
    </w:p>
    <w:p>
      <w:pPr>
        <w:pStyle w:val="Heading1"/>
      </w:pPr>
      <w:r>
        <w:t>4. Major Challenges and Opportunities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Challenges</w:t>
            </w:r>
          </w:p>
        </w:tc>
        <w:tc>
          <w:tcPr>
            <w:tcW w:type="dxa" w:w="4968"/>
            <w:shd w:fill="D9EAF7"/>
            <w:vAlign w:val="center"/>
          </w:tcPr>
          <w:p>
            <w:r>
              <w:rPr>
                <w:b/>
              </w:rPr>
              <w:t>Opportunities</w:t>
            </w:r>
          </w:p>
        </w:tc>
      </w:tr>
      <w:tr>
        <w:tc>
          <w:tcPr>
            <w:tcW w:type="dxa" w:w="4968"/>
            <w:vAlign w:val="center"/>
          </w:tcPr>
          <w:p>
            <w:r>
              <w:t>Fragmented systems and inconsistent formats</w:t>
            </w:r>
          </w:p>
        </w:tc>
        <w:tc>
          <w:tcPr>
            <w:tcW w:type="dxa" w:w="4968"/>
            <w:vAlign w:val="center"/>
          </w:tcPr>
          <w:p>
            <w:r>
              <w:t>Interoperability standards and common data models.</w:t>
            </w:r>
          </w:p>
        </w:tc>
      </w:tr>
      <w:tr>
        <w:tc>
          <w:tcPr>
            <w:tcW w:type="dxa" w:w="4968"/>
            <w:vAlign w:val="center"/>
          </w:tcPr>
          <w:p>
            <w:r>
              <w:t>Incomplete, duplicated or inaccurate records</w:t>
            </w:r>
          </w:p>
        </w:tc>
        <w:tc>
          <w:tcPr>
            <w:tcW w:type="dxa" w:w="4968"/>
            <w:vAlign w:val="center"/>
          </w:tcPr>
          <w:p>
            <w:r>
              <w:t>Data-quality profiling, validation and cleansing.</w:t>
            </w:r>
          </w:p>
        </w:tc>
      </w:tr>
      <w:tr>
        <w:tc>
          <w:tcPr>
            <w:tcW w:type="dxa" w:w="4968"/>
            <w:vAlign w:val="center"/>
          </w:tcPr>
          <w:p>
            <w:r>
              <w:t>Privacy and cybersecurity risks</w:t>
            </w:r>
          </w:p>
        </w:tc>
        <w:tc>
          <w:tcPr>
            <w:tcW w:type="dxa" w:w="4968"/>
            <w:vAlign w:val="center"/>
          </w:tcPr>
          <w:p>
            <w:r>
              <w:t>Privacy-by-design, access controls, minimisation and secure processing.</w:t>
            </w:r>
          </w:p>
        </w:tc>
      </w:tr>
      <w:tr>
        <w:tc>
          <w:tcPr>
            <w:tcW w:type="dxa" w:w="4968"/>
            <w:vAlign w:val="center"/>
          </w:tcPr>
          <w:p>
            <w:r>
              <w:t>Low or unequal digital adoption</w:t>
            </w:r>
          </w:p>
        </w:tc>
        <w:tc>
          <w:tcPr>
            <w:tcW w:type="dxa" w:w="4968"/>
            <w:vAlign w:val="center"/>
          </w:tcPr>
          <w:p>
            <w:r>
              <w:t>Segmented analysis and accessibility-focused service redesign.</w:t>
            </w:r>
          </w:p>
        </w:tc>
      </w:tr>
      <w:tr>
        <w:tc>
          <w:tcPr>
            <w:tcW w:type="dxa" w:w="4968"/>
            <w:vAlign w:val="center"/>
          </w:tcPr>
          <w:p>
            <w:r>
              <w:t>Limited analytical capacity</w:t>
            </w:r>
          </w:p>
        </w:tc>
        <w:tc>
          <w:tcPr>
            <w:tcW w:type="dxa" w:w="4968"/>
            <w:vAlign w:val="center"/>
          </w:tcPr>
          <w:p>
            <w:r>
              <w:t>Standardised workflows, reusable dashboards and staff training.</w:t>
            </w:r>
          </w:p>
        </w:tc>
      </w:tr>
      <w:tr>
        <w:tc>
          <w:tcPr>
            <w:tcW w:type="dxa" w:w="4968"/>
            <w:vAlign w:val="center"/>
          </w:tcPr>
          <w:p>
            <w:r>
              <w:t>Difficulty measuring real outcomes</w:t>
            </w:r>
          </w:p>
        </w:tc>
        <w:tc>
          <w:tcPr>
            <w:tcW w:type="dxa" w:w="4968"/>
            <w:vAlign w:val="center"/>
          </w:tcPr>
          <w:p>
            <w:r>
              <w:t>Define KPIs and outcome indicators before analysis.</w:t>
            </w:r>
          </w:p>
        </w:tc>
      </w:tr>
      <w:tr>
        <w:tc>
          <w:tcPr>
            <w:tcW w:type="dxa" w:w="4968"/>
            <w:vAlign w:val="center"/>
          </w:tcPr>
          <w:p>
            <w:r>
              <w:t>Legacy technology</w:t>
            </w:r>
          </w:p>
        </w:tc>
        <w:tc>
          <w:tcPr>
            <w:tcW w:type="dxa" w:w="4968"/>
            <w:vAlign w:val="center"/>
          </w:tcPr>
          <w:p>
            <w:r>
              <w:t>Incremental integration and carefully governed data pipelines.</w:t>
            </w:r>
          </w:p>
        </w:tc>
      </w:tr>
      <w:tr>
        <w:tc>
          <w:tcPr>
            <w:tcW w:type="dxa" w:w="4968"/>
            <w:vAlign w:val="center"/>
          </w:tcPr>
          <w:p>
            <w:r>
              <w:t>Risk of misleading automated analysis</w:t>
            </w:r>
          </w:p>
        </w:tc>
        <w:tc>
          <w:tcPr>
            <w:tcW w:type="dxa" w:w="4968"/>
            <w:vAlign w:val="center"/>
          </w:tcPr>
          <w:p>
            <w:r>
              <w:t>Human review, validation, documentation and responsible analytics.</w:t>
            </w:r>
          </w:p>
        </w:tc>
      </w:tr>
    </w:tbl>
    <w:p>
      <w:r>
        <w:t>The World Bank similarly identifies interoperability, privacy, cybersecurity, inclusion and trusted data sharing as important foundations for modern digital government. citeturn0search4turn0search5</w:t>
      </w:r>
    </w:p>
    <w:p>
      <w:pPr>
        <w:pStyle w:val="Heading1"/>
      </w:pPr>
      <w:r>
        <w:t>5. Project Objectives</w:t>
      </w:r>
    </w:p>
    <w:p>
      <w:pPr>
        <w:pStyle w:val="ListBullet"/>
      </w:pPr>
      <w:r>
        <w:t>Measure digital-service usage, demand and engagement across selected services.</w:t>
      </w:r>
    </w:p>
    <w:p>
      <w:pPr>
        <w:pStyle w:val="ListBullet"/>
      </w:pPr>
      <w:r>
        <w:t>Identify bottlenecks such as long processing times, high abandonment, repeated submissions and unresolved requests.</w:t>
      </w:r>
    </w:p>
    <w:p>
      <w:pPr>
        <w:pStyle w:val="ListBullet"/>
      </w:pPr>
      <w:r>
        <w:t>Assess data quality, completeness, consistency, timeliness and duplication.</w:t>
      </w:r>
    </w:p>
    <w:p>
      <w:pPr>
        <w:pStyle w:val="ListBullet"/>
      </w:pPr>
      <w:r>
        <w:t>Understand differences in service adoption and experience across relevant user segments.</w:t>
      </w:r>
    </w:p>
    <w:p>
      <w:pPr>
        <w:pStyle w:val="ListBullet"/>
      </w:pPr>
      <w:r>
        <w:t>Develop evidence-based recommendations for improving service efficiency and user experience.</w:t>
      </w:r>
    </w:p>
    <w:p>
      <w:pPr>
        <w:pStyle w:val="ListBullet"/>
      </w:pPr>
      <w:r>
        <w:t>Establish dashboards and KPIs that support continuous monitoring.</w:t>
      </w:r>
    </w:p>
    <w:p>
      <w:pPr>
        <w:pStyle w:val="ListBullet"/>
      </w:pPr>
      <w:r>
        <w:t>Create a governance framework covering privacy, security, access, documentation and responsible analytical use.</w:t>
      </w:r>
    </w:p>
    <w:p>
      <w:pPr>
        <w:pStyle w:val="Heading1"/>
      </w:pPr>
      <w:r>
        <w:t>6. Intended Outcomes</w:t>
      </w:r>
    </w:p>
    <w:p>
      <w:pPr>
        <w:pStyle w:val="ListBullet"/>
      </w:pPr>
      <w:r>
        <w:t>A clearly documented data inventory and analytical workflow.</w:t>
      </w:r>
    </w:p>
    <w:p>
      <w:pPr>
        <w:pStyle w:val="ListBullet"/>
      </w:pPr>
      <w:r>
        <w:t>A validated dataset or analytical-ready data model.</w:t>
      </w:r>
    </w:p>
    <w:p>
      <w:pPr>
        <w:pStyle w:val="ListBullet"/>
      </w:pPr>
      <w:r>
        <w:t>A set of service-performance and user-engagement indicators.</w:t>
      </w:r>
    </w:p>
    <w:p>
      <w:pPr>
        <w:pStyle w:val="ListBullet"/>
      </w:pPr>
      <w:r>
        <w:t>Identification of major service bottlenecks and improvement opportunities.</w:t>
      </w:r>
    </w:p>
    <w:p>
      <w:pPr>
        <w:pStyle w:val="ListBullet"/>
      </w:pPr>
      <w:r>
        <w:t>Dashboards or analytical reports that communicate findings clearly.</w:t>
      </w:r>
    </w:p>
    <w:p>
      <w:pPr>
        <w:pStyle w:val="ListBullet"/>
      </w:pPr>
      <w:r>
        <w:t>Actionable recommendations linked to measurable indicators.</w:t>
      </w:r>
    </w:p>
    <w:p>
      <w:pPr>
        <w:pStyle w:val="ListBullet"/>
      </w:pPr>
      <w:r>
        <w:t>A repeatable framework that can be extended to additional government services.</w:t>
      </w:r>
    </w:p>
    <w:p>
      <w:pPr>
        <w:pStyle w:val="Heading1"/>
      </w:pPr>
      <w:r>
        <w:t>7. Scope of Analysis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In Scope</w:t>
            </w:r>
          </w:p>
        </w:tc>
        <w:tc>
          <w:tcPr>
            <w:tcW w:type="dxa" w:w="4968"/>
            <w:shd w:fill="D9EAF7"/>
            <w:vAlign w:val="center"/>
          </w:tcPr>
          <w:p>
            <w:r>
              <w:rPr>
                <w:b/>
              </w:rPr>
              <w:t>Out of Scope / Controlled</w:t>
            </w:r>
          </w:p>
        </w:tc>
      </w:tr>
      <w:tr>
        <w:tc>
          <w:tcPr>
            <w:tcW w:type="dxa" w:w="4968"/>
            <w:vAlign w:val="center"/>
          </w:tcPr>
          <w:p>
            <w:r>
              <w:t>Digital service usage and transactions</w:t>
            </w:r>
          </w:p>
        </w:tc>
        <w:tc>
          <w:tcPr>
            <w:tcW w:type="dxa" w:w="4968"/>
            <w:vAlign w:val="center"/>
          </w:tcPr>
          <w:p>
            <w:r>
              <w:t>Unauthorised access to personal records</w:t>
            </w:r>
          </w:p>
        </w:tc>
      </w:tr>
      <w:tr>
        <w:tc>
          <w:tcPr>
            <w:tcW w:type="dxa" w:w="4968"/>
            <w:vAlign w:val="center"/>
          </w:tcPr>
          <w:p>
            <w:r>
              <w:t>Service processing time and completion</w:t>
            </w:r>
          </w:p>
        </w:tc>
        <w:tc>
          <w:tcPr>
            <w:tcW w:type="dxa" w:w="4968"/>
            <w:vAlign w:val="center"/>
          </w:tcPr>
          <w:p>
            <w:r>
              <w:t>Use of personally identifiable data beyond approved purpose</w:t>
            </w:r>
          </w:p>
        </w:tc>
      </w:tr>
      <w:tr>
        <w:tc>
          <w:tcPr>
            <w:tcW w:type="dxa" w:w="4968"/>
            <w:vAlign w:val="center"/>
          </w:tcPr>
          <w:p>
            <w:r>
              <w:t>Citizen feedback and satisfaction</w:t>
            </w:r>
          </w:p>
        </w:tc>
        <w:tc>
          <w:tcPr>
            <w:tcW w:type="dxa" w:w="4968"/>
            <w:vAlign w:val="center"/>
          </w:tcPr>
          <w:p>
            <w:r>
              <w:t>Automated decisions without governance and human oversight</w:t>
            </w:r>
          </w:p>
        </w:tc>
      </w:tr>
      <w:tr>
        <w:tc>
          <w:tcPr>
            <w:tcW w:type="dxa" w:w="4968"/>
            <w:vAlign w:val="center"/>
          </w:tcPr>
          <w:p>
            <w:r>
              <w:t>Portal/app availability and errors</w:t>
            </w:r>
          </w:p>
        </w:tc>
        <w:tc>
          <w:tcPr>
            <w:tcW w:type="dxa" w:w="4968"/>
            <w:vAlign w:val="center"/>
          </w:tcPr>
          <w:p>
            <w:r>
              <w:t>Collection of unnecessary sensitive information</w:t>
            </w:r>
          </w:p>
        </w:tc>
      </w:tr>
      <w:tr>
        <w:tc>
          <w:tcPr>
            <w:tcW w:type="dxa" w:w="4968"/>
            <w:vAlign w:val="center"/>
          </w:tcPr>
          <w:p>
            <w:r>
              <w:t>Aggregated demographic/geographic patterns where lawful</w:t>
            </w:r>
          </w:p>
        </w:tc>
        <w:tc>
          <w:tcPr>
            <w:tcW w:type="dxa" w:w="4968"/>
            <w:vAlign w:val="center"/>
          </w:tcPr>
          <w:p>
            <w:r>
              <w:t>Publishing confidential or identifying records</w:t>
            </w:r>
          </w:p>
        </w:tc>
      </w:tr>
      <w:tr>
        <w:tc>
          <w:tcPr>
            <w:tcW w:type="dxa" w:w="4968"/>
            <w:vAlign w:val="center"/>
          </w:tcPr>
          <w:p>
            <w:r>
              <w:t>Operational workload and service outcomes</w:t>
            </w:r>
          </w:p>
        </w:tc>
        <w:tc>
          <w:tcPr>
            <w:tcW w:type="dxa" w:w="4968"/>
            <w:vAlign w:val="center"/>
          </w:tcPr>
          <w:p>
            <w:r>
              <w:t>Political targeting or profiling of citizens</w:t>
            </w:r>
          </w:p>
        </w:tc>
      </w:tr>
    </w:tbl>
    <w:p>
      <w:pPr>
        <w:pStyle w:val="Heading1"/>
      </w:pPr>
      <w:r>
        <w:t>8. Data Sources and Collection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Data Source</w:t>
            </w:r>
          </w:p>
        </w:tc>
        <w:tc>
          <w:tcPr>
            <w:tcW w:type="dxa" w:w="3312"/>
            <w:shd w:fill="D9EAF7"/>
            <w:vAlign w:val="center"/>
          </w:tcPr>
          <w:p>
            <w:r>
              <w:rPr>
                <w:b/>
              </w:rPr>
              <w:t>Examples</w:t>
            </w:r>
          </w:p>
        </w:tc>
        <w:tc>
          <w:tcPr>
            <w:tcW w:type="dxa" w:w="3312"/>
            <w:shd w:fill="D9EAF7"/>
            <w:vAlign w:val="center"/>
          </w:tcPr>
          <w:p>
            <w:r>
              <w:rPr>
                <w:b/>
              </w:rPr>
              <w:t>Collection Method</w:t>
            </w:r>
          </w:p>
        </w:tc>
      </w:tr>
      <w:tr>
        <w:tc>
          <w:tcPr>
            <w:tcW w:type="dxa" w:w="3312"/>
            <w:vAlign w:val="center"/>
          </w:tcPr>
          <w:p>
            <w:r>
              <w:t>Service transaction data</w:t>
            </w:r>
          </w:p>
        </w:tc>
        <w:tc>
          <w:tcPr>
            <w:tcW w:type="dxa" w:w="3312"/>
            <w:vAlign w:val="center"/>
          </w:tcPr>
          <w:p>
            <w:r>
              <w:t>Applications, approvals, rejections, processing time</w:t>
            </w:r>
          </w:p>
        </w:tc>
        <w:tc>
          <w:tcPr>
            <w:tcW w:type="dxa" w:w="3312"/>
            <w:vAlign w:val="center"/>
          </w:tcPr>
          <w:p>
            <w:r>
              <w:t>Secure system export/API</w:t>
            </w:r>
          </w:p>
        </w:tc>
      </w:tr>
      <w:tr>
        <w:tc>
          <w:tcPr>
            <w:tcW w:type="dxa" w:w="3312"/>
            <w:vAlign w:val="center"/>
          </w:tcPr>
          <w:p>
            <w:r>
              <w:t>Web/app analytics</w:t>
            </w:r>
          </w:p>
        </w:tc>
        <w:tc>
          <w:tcPr>
            <w:tcW w:type="dxa" w:w="3312"/>
            <w:vAlign w:val="center"/>
          </w:tcPr>
          <w:p>
            <w:r>
              <w:t>Visits, sessions, completion, abandonment, errors</w:t>
            </w:r>
          </w:p>
        </w:tc>
        <w:tc>
          <w:tcPr>
            <w:tcW w:type="dxa" w:w="3312"/>
            <w:vAlign w:val="center"/>
          </w:tcPr>
          <w:p>
            <w:r>
              <w:t>Analytics platform/logs</w:t>
            </w:r>
          </w:p>
        </w:tc>
      </w:tr>
      <w:tr>
        <w:tc>
          <w:tcPr>
            <w:tcW w:type="dxa" w:w="3312"/>
            <w:vAlign w:val="center"/>
          </w:tcPr>
          <w:p>
            <w:r>
              <w:t>Citizen feedback</w:t>
            </w:r>
          </w:p>
        </w:tc>
        <w:tc>
          <w:tcPr>
            <w:tcW w:type="dxa" w:w="3312"/>
            <w:vAlign w:val="center"/>
          </w:tcPr>
          <w:p>
            <w:r>
              <w:t>Ratings, surveys, complaints, support tickets</w:t>
            </w:r>
          </w:p>
        </w:tc>
        <w:tc>
          <w:tcPr>
            <w:tcW w:type="dxa" w:w="3312"/>
            <w:vAlign w:val="center"/>
          </w:tcPr>
          <w:p>
            <w:r>
              <w:t>Survey/feedback systems</w:t>
            </w:r>
          </w:p>
        </w:tc>
      </w:tr>
      <w:tr>
        <w:tc>
          <w:tcPr>
            <w:tcW w:type="dxa" w:w="3312"/>
            <w:vAlign w:val="center"/>
          </w:tcPr>
          <w:p>
            <w:r>
              <w:t>Operational data</w:t>
            </w:r>
          </w:p>
        </w:tc>
        <w:tc>
          <w:tcPr>
            <w:tcW w:type="dxa" w:w="3312"/>
            <w:vAlign w:val="center"/>
          </w:tcPr>
          <w:p>
            <w:r>
              <w:t>Backlog, staff workload, response time</w:t>
            </w:r>
          </w:p>
        </w:tc>
        <w:tc>
          <w:tcPr>
            <w:tcW w:type="dxa" w:w="3312"/>
            <w:vAlign w:val="center"/>
          </w:tcPr>
          <w:p>
            <w:r>
              <w:t>Departmental systems</w:t>
            </w:r>
          </w:p>
        </w:tc>
      </w:tr>
      <w:tr>
        <w:tc>
          <w:tcPr>
            <w:tcW w:type="dxa" w:w="3312"/>
            <w:vAlign w:val="center"/>
          </w:tcPr>
          <w:p>
            <w:r>
              <w:t>Open government data</w:t>
            </w:r>
          </w:p>
        </w:tc>
        <w:tc>
          <w:tcPr>
            <w:tcW w:type="dxa" w:w="3312"/>
            <w:vAlign w:val="center"/>
          </w:tcPr>
          <w:p>
            <w:r>
              <w:t>Aggregated demographic, geographic or service datasets</w:t>
            </w:r>
          </w:p>
        </w:tc>
        <w:tc>
          <w:tcPr>
            <w:tcW w:type="dxa" w:w="3312"/>
            <w:vAlign w:val="center"/>
          </w:tcPr>
          <w:p>
            <w:r>
              <w:t>Official open-data portals</w:t>
            </w:r>
          </w:p>
        </w:tc>
      </w:tr>
      <w:tr>
        <w:tc>
          <w:tcPr>
            <w:tcW w:type="dxa" w:w="3312"/>
            <w:vAlign w:val="center"/>
          </w:tcPr>
          <w:p>
            <w:r>
              <w:t>System logs</w:t>
            </w:r>
          </w:p>
        </w:tc>
        <w:tc>
          <w:tcPr>
            <w:tcW w:type="dxa" w:w="3312"/>
            <w:vAlign w:val="center"/>
          </w:tcPr>
          <w:p>
            <w:r>
              <w:t>Availability, response time, technical errors</w:t>
            </w:r>
          </w:p>
        </w:tc>
        <w:tc>
          <w:tcPr>
            <w:tcW w:type="dxa" w:w="3312"/>
            <w:vAlign w:val="center"/>
          </w:tcPr>
          <w:p>
            <w:r>
              <w:t>Monitoring/logging systems</w:t>
            </w:r>
          </w:p>
        </w:tc>
      </w:tr>
    </w:tbl>
    <w:p>
      <w:r>
        <w:t>Collection should follow purpose limitation, data minimisation, access control, retention rules and documented ownership. OECD data-ethics guidance places trust, integrity and responsible data practices at the centre of public-sector data use. citeturn0search1</w:t>
      </w:r>
    </w:p>
    <w:p>
      <w:pPr>
        <w:pStyle w:val="Heading1"/>
      </w:pPr>
      <w:r>
        <w:t>9. Analytical Methodology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Stage</w:t>
            </w:r>
          </w:p>
        </w:tc>
        <w:tc>
          <w:tcPr>
            <w:tcW w:type="dxa" w:w="4968"/>
            <w:shd w:fill="D9EAF7"/>
            <w:vAlign w:val="center"/>
          </w:tcPr>
          <w:p>
            <w:r>
              <w:rPr>
                <w:b/>
              </w:rPr>
              <w:t>Execution</w:t>
            </w:r>
          </w:p>
        </w:tc>
      </w:tr>
      <w:tr>
        <w:tc>
          <w:tcPr>
            <w:tcW w:type="dxa" w:w="4968"/>
            <w:vAlign w:val="center"/>
          </w:tcPr>
          <w:p>
            <w:r>
              <w:t>1. Define analytical questions</w:t>
            </w:r>
          </w:p>
        </w:tc>
        <w:tc>
          <w:tcPr>
            <w:tcW w:type="dxa" w:w="4968"/>
            <w:vAlign w:val="center"/>
          </w:tcPr>
          <w:p>
            <w:r>
              <w:t>Translate service problems into measurable questions and KPIs.</w:t>
            </w:r>
          </w:p>
        </w:tc>
      </w:tr>
      <w:tr>
        <w:tc>
          <w:tcPr>
            <w:tcW w:type="dxa" w:w="4968"/>
            <w:vAlign w:val="center"/>
          </w:tcPr>
          <w:p>
            <w:r>
              <w:t>2. Data inventory</w:t>
            </w:r>
          </w:p>
        </w:tc>
        <w:tc>
          <w:tcPr>
            <w:tcW w:type="dxa" w:w="4968"/>
            <w:vAlign w:val="center"/>
          </w:tcPr>
          <w:p>
            <w:r>
              <w:t>Document datasets, owners, fields, frequency, quality and permitted uses.</w:t>
            </w:r>
          </w:p>
        </w:tc>
      </w:tr>
      <w:tr>
        <w:tc>
          <w:tcPr>
            <w:tcW w:type="dxa" w:w="4968"/>
            <w:vAlign w:val="center"/>
          </w:tcPr>
          <w:p>
            <w:r>
              <w:t>3. Data acquisition</w:t>
            </w:r>
          </w:p>
        </w:tc>
        <w:tc>
          <w:tcPr>
            <w:tcW w:type="dxa" w:w="4968"/>
            <w:vAlign w:val="center"/>
          </w:tcPr>
          <w:p>
            <w:r>
              <w:t>Collect approved datasets through secure and auditable channels.</w:t>
            </w:r>
          </w:p>
        </w:tc>
      </w:tr>
      <w:tr>
        <w:tc>
          <w:tcPr>
            <w:tcW w:type="dxa" w:w="4968"/>
            <w:vAlign w:val="center"/>
          </w:tcPr>
          <w:p>
            <w:r>
              <w:t>4. Data profiling</w:t>
            </w:r>
          </w:p>
        </w:tc>
        <w:tc>
          <w:tcPr>
            <w:tcW w:type="dxa" w:w="4968"/>
            <w:vAlign w:val="center"/>
          </w:tcPr>
          <w:p>
            <w:r>
              <w:t>Check completeness, uniqueness, validity, consistency, timeliness and missingness.</w:t>
            </w:r>
          </w:p>
        </w:tc>
      </w:tr>
      <w:tr>
        <w:tc>
          <w:tcPr>
            <w:tcW w:type="dxa" w:w="4968"/>
            <w:vAlign w:val="center"/>
          </w:tcPr>
          <w:p>
            <w:r>
              <w:t>5. Data cleaning</w:t>
            </w:r>
          </w:p>
        </w:tc>
        <w:tc>
          <w:tcPr>
            <w:tcW w:type="dxa" w:w="4968"/>
            <w:vAlign w:val="center"/>
          </w:tcPr>
          <w:p>
            <w:r>
              <w:t>Remove duplicates, standardise formats, handle missing values and document transformations.</w:t>
            </w:r>
          </w:p>
        </w:tc>
      </w:tr>
      <w:tr>
        <w:tc>
          <w:tcPr>
            <w:tcW w:type="dxa" w:w="4968"/>
            <w:vAlign w:val="center"/>
          </w:tcPr>
          <w:p>
            <w:r>
              <w:t>6. Exploratory analysis</w:t>
            </w:r>
          </w:p>
        </w:tc>
        <w:tc>
          <w:tcPr>
            <w:tcW w:type="dxa" w:w="4968"/>
            <w:vAlign w:val="center"/>
          </w:tcPr>
          <w:p>
            <w:r>
              <w:t>Use descriptive statistics and visualisations to identify patterns and anomalies.</w:t>
            </w:r>
          </w:p>
        </w:tc>
      </w:tr>
      <w:tr>
        <w:tc>
          <w:tcPr>
            <w:tcW w:type="dxa" w:w="4968"/>
            <w:vAlign w:val="center"/>
          </w:tcPr>
          <w:p>
            <w:r>
              <w:t>7. Statistical analysis</w:t>
            </w:r>
          </w:p>
        </w:tc>
        <w:tc>
          <w:tcPr>
            <w:tcW w:type="dxa" w:w="4968"/>
            <w:vAlign w:val="center"/>
          </w:tcPr>
          <w:p>
            <w:r>
              <w:t>Apply appropriate tests and models to examine relationships and differences.</w:t>
            </w:r>
          </w:p>
        </w:tc>
      </w:tr>
      <w:tr>
        <w:tc>
          <w:tcPr>
            <w:tcW w:type="dxa" w:w="4968"/>
            <w:vAlign w:val="center"/>
          </w:tcPr>
          <w:p>
            <w:r>
              <w:t>8. Segmentation</w:t>
            </w:r>
          </w:p>
        </w:tc>
        <w:tc>
          <w:tcPr>
            <w:tcW w:type="dxa" w:w="4968"/>
            <w:vAlign w:val="center"/>
          </w:tcPr>
          <w:p>
            <w:r>
              <w:t>Compare relevant user/service groups without inappropriate profiling.</w:t>
            </w:r>
          </w:p>
        </w:tc>
      </w:tr>
      <w:tr>
        <w:tc>
          <w:tcPr>
            <w:tcW w:type="dxa" w:w="4968"/>
            <w:vAlign w:val="center"/>
          </w:tcPr>
          <w:p>
            <w:r>
              <w:t>9. Service-journey analysis</w:t>
            </w:r>
          </w:p>
        </w:tc>
        <w:tc>
          <w:tcPr>
            <w:tcW w:type="dxa" w:w="4968"/>
            <w:vAlign w:val="center"/>
          </w:tcPr>
          <w:p>
            <w:r>
              <w:t>Locate drop-offs, delays and repeated steps in the digital journey.</w:t>
            </w:r>
          </w:p>
        </w:tc>
      </w:tr>
      <w:tr>
        <w:tc>
          <w:tcPr>
            <w:tcW w:type="dxa" w:w="4968"/>
            <w:vAlign w:val="center"/>
          </w:tcPr>
          <w:p>
            <w:r>
              <w:t>10. Validation</w:t>
            </w:r>
          </w:p>
        </w:tc>
        <w:tc>
          <w:tcPr>
            <w:tcW w:type="dxa" w:w="4968"/>
            <w:vAlign w:val="center"/>
          </w:tcPr>
          <w:p>
            <w:r>
              <w:t>Cross-check findings, test assumptions and obtain domain-expert review.</w:t>
            </w:r>
          </w:p>
        </w:tc>
      </w:tr>
      <w:tr>
        <w:tc>
          <w:tcPr>
            <w:tcW w:type="dxa" w:w="4968"/>
            <w:vAlign w:val="center"/>
          </w:tcPr>
          <w:p>
            <w:r>
              <w:t>11. Visualisation</w:t>
            </w:r>
          </w:p>
        </w:tc>
        <w:tc>
          <w:tcPr>
            <w:tcW w:type="dxa" w:w="4968"/>
            <w:vAlign w:val="center"/>
          </w:tcPr>
          <w:p>
            <w:r>
              <w:t>Build dashboards and concise decision-oriented reports.</w:t>
            </w:r>
          </w:p>
        </w:tc>
      </w:tr>
      <w:tr>
        <w:tc>
          <w:tcPr>
            <w:tcW w:type="dxa" w:w="4968"/>
            <w:vAlign w:val="center"/>
          </w:tcPr>
          <w:p>
            <w:r>
              <w:t>12. Recommendation</w:t>
            </w:r>
          </w:p>
        </w:tc>
        <w:tc>
          <w:tcPr>
            <w:tcW w:type="dxa" w:w="4968"/>
            <w:vAlign w:val="center"/>
          </w:tcPr>
          <w:p>
            <w:r>
              <w:t>Link each recommendation to evidence, owner, expected outcome and KPI.</w:t>
            </w:r>
          </w:p>
        </w:tc>
      </w:tr>
      <w:tr>
        <w:tc>
          <w:tcPr>
            <w:tcW w:type="dxa" w:w="4968"/>
            <w:vAlign w:val="center"/>
          </w:tcPr>
          <w:p>
            <w:r>
              <w:t>13. Monitoring</w:t>
            </w:r>
          </w:p>
        </w:tc>
        <w:tc>
          <w:tcPr>
            <w:tcW w:type="dxa" w:w="4968"/>
            <w:vAlign w:val="center"/>
          </w:tcPr>
          <w:p>
            <w:r>
              <w:t>Track indicators over time and establish a review cycle.</w:t>
            </w:r>
          </w:p>
        </w:tc>
      </w:tr>
    </w:tbl>
    <w:p>
      <w:pPr>
        <w:pStyle w:val="Heading1"/>
      </w:pPr>
      <w:r>
        <w:t>10. Statistical and Analytical Methods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Method</w:t>
            </w:r>
          </w:p>
        </w:tc>
        <w:tc>
          <w:tcPr>
            <w:tcW w:type="dxa" w:w="4968"/>
            <w:shd w:fill="D9EAF7"/>
            <w:vAlign w:val="center"/>
          </w:tcPr>
          <w:p>
            <w:r>
              <w:rPr>
                <w:b/>
              </w:rPr>
              <w:t>Purpose</w:t>
            </w:r>
          </w:p>
        </w:tc>
      </w:tr>
      <w:tr>
        <w:tc>
          <w:tcPr>
            <w:tcW w:type="dxa" w:w="4968"/>
            <w:vAlign w:val="center"/>
          </w:tcPr>
          <w:p>
            <w:r>
              <w:t>Descriptive statistics</w:t>
            </w:r>
          </w:p>
        </w:tc>
        <w:tc>
          <w:tcPr>
            <w:tcW w:type="dxa" w:w="4968"/>
            <w:vAlign w:val="center"/>
          </w:tcPr>
          <w:p>
            <w:r>
              <w:t>Summarise volume, frequency, averages, medians, rates and distributions.</w:t>
            </w:r>
          </w:p>
        </w:tc>
      </w:tr>
      <w:tr>
        <w:tc>
          <w:tcPr>
            <w:tcW w:type="dxa" w:w="4968"/>
            <w:vAlign w:val="center"/>
          </w:tcPr>
          <w:p>
            <w:r>
              <w:t>Trend/time-series analysis</w:t>
            </w:r>
          </w:p>
        </w:tc>
        <w:tc>
          <w:tcPr>
            <w:tcW w:type="dxa" w:w="4968"/>
            <w:vAlign w:val="center"/>
          </w:tcPr>
          <w:p>
            <w:r>
              <w:t>Identify changes in demand, processing time and adoption over time.</w:t>
            </w:r>
          </w:p>
        </w:tc>
      </w:tr>
      <w:tr>
        <w:tc>
          <w:tcPr>
            <w:tcW w:type="dxa" w:w="4968"/>
            <w:vAlign w:val="center"/>
          </w:tcPr>
          <w:p>
            <w:r>
              <w:t>Correlation analysis</w:t>
            </w:r>
          </w:p>
        </w:tc>
        <w:tc>
          <w:tcPr>
            <w:tcW w:type="dxa" w:w="4968"/>
            <w:vAlign w:val="center"/>
          </w:tcPr>
          <w:p>
            <w:r>
              <w:t>Explore relationships between service variables; correlation will not be treated as causation.</w:t>
            </w:r>
          </w:p>
        </w:tc>
      </w:tr>
      <w:tr>
        <w:tc>
          <w:tcPr>
            <w:tcW w:type="dxa" w:w="4968"/>
            <w:vAlign w:val="center"/>
          </w:tcPr>
          <w:p>
            <w:r>
              <w:t>Cross-tabulation</w:t>
            </w:r>
          </w:p>
        </w:tc>
        <w:tc>
          <w:tcPr>
            <w:tcW w:type="dxa" w:w="4968"/>
            <w:vAlign w:val="center"/>
          </w:tcPr>
          <w:p>
            <w:r>
              <w:t>Compare service outcomes across relevant categories.</w:t>
            </w:r>
          </w:p>
        </w:tc>
      </w:tr>
      <w:tr>
        <w:tc>
          <w:tcPr>
            <w:tcW w:type="dxa" w:w="4968"/>
            <w:vAlign w:val="center"/>
          </w:tcPr>
          <w:p>
            <w:r>
              <w:t>Hypothesis testing</w:t>
            </w:r>
          </w:p>
        </w:tc>
        <w:tc>
          <w:tcPr>
            <w:tcW w:type="dxa" w:w="4968"/>
            <w:vAlign w:val="center"/>
          </w:tcPr>
          <w:p>
            <w:r>
              <w:t>Test whether observed differences are statistically meaningful when assumptions are satisfied.</w:t>
            </w:r>
          </w:p>
        </w:tc>
      </w:tr>
      <w:tr>
        <w:tc>
          <w:tcPr>
            <w:tcW w:type="dxa" w:w="4968"/>
            <w:vAlign w:val="center"/>
          </w:tcPr>
          <w:p>
            <w:r>
              <w:t>Regression analysis</w:t>
            </w:r>
          </w:p>
        </w:tc>
        <w:tc>
          <w:tcPr>
            <w:tcW w:type="dxa" w:w="4968"/>
            <w:vAlign w:val="center"/>
          </w:tcPr>
          <w:p>
            <w:r>
              <w:t>Estimate associations between selected predictors and service outcomes.</w:t>
            </w:r>
          </w:p>
        </w:tc>
      </w:tr>
      <w:tr>
        <w:tc>
          <w:tcPr>
            <w:tcW w:type="dxa" w:w="4968"/>
            <w:vAlign w:val="center"/>
          </w:tcPr>
          <w:p>
            <w:r>
              <w:t>Cohort analysis</w:t>
            </w:r>
          </w:p>
        </w:tc>
        <w:tc>
          <w:tcPr>
            <w:tcW w:type="dxa" w:w="4968"/>
            <w:vAlign w:val="center"/>
          </w:tcPr>
          <w:p>
            <w:r>
              <w:t>Track behaviour of users or applications across defined periods.</w:t>
            </w:r>
          </w:p>
        </w:tc>
      </w:tr>
      <w:tr>
        <w:tc>
          <w:tcPr>
            <w:tcW w:type="dxa" w:w="4968"/>
            <w:vAlign w:val="center"/>
          </w:tcPr>
          <w:p>
            <w:r>
              <w:t>Funnel analysis</w:t>
            </w:r>
          </w:p>
        </w:tc>
        <w:tc>
          <w:tcPr>
            <w:tcW w:type="dxa" w:w="4968"/>
            <w:vAlign w:val="center"/>
          </w:tcPr>
          <w:p>
            <w:r>
              <w:t>Measure progression through digital-service steps and identify abandonment.</w:t>
            </w:r>
          </w:p>
        </w:tc>
      </w:tr>
      <w:tr>
        <w:tc>
          <w:tcPr>
            <w:tcW w:type="dxa" w:w="4968"/>
            <w:vAlign w:val="center"/>
          </w:tcPr>
          <w:p>
            <w:r>
              <w:t>Anomaly detection</w:t>
            </w:r>
          </w:p>
        </w:tc>
        <w:tc>
          <w:tcPr>
            <w:tcW w:type="dxa" w:w="4968"/>
            <w:vAlign w:val="center"/>
          </w:tcPr>
          <w:p>
            <w:r>
              <w:t>Flag unusual transaction volumes, delays or system behaviour for investigation.</w:t>
            </w:r>
          </w:p>
        </w:tc>
      </w:tr>
      <w:tr>
        <w:tc>
          <w:tcPr>
            <w:tcW w:type="dxa" w:w="4968"/>
            <w:vAlign w:val="center"/>
          </w:tcPr>
          <w:p>
            <w:r>
              <w:t>Text/sentiment analysis</w:t>
            </w:r>
          </w:p>
        </w:tc>
        <w:tc>
          <w:tcPr>
            <w:tcW w:type="dxa" w:w="4968"/>
            <w:vAlign w:val="center"/>
          </w:tcPr>
          <w:p>
            <w:r>
              <w:t>Summarise themes in feedback where language data is available and appropriate.</w:t>
            </w:r>
          </w:p>
        </w:tc>
      </w:tr>
    </w:tbl>
    <w:p>
      <w:pPr>
        <w:pStyle w:val="Heading1"/>
      </w:pPr>
      <w:r>
        <w:t>11. Tools and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Area</w:t>
            </w:r>
          </w:p>
        </w:tc>
        <w:tc>
          <w:tcPr>
            <w:tcW w:type="dxa" w:w="4968"/>
            <w:shd w:fill="D9EAF7"/>
            <w:vAlign w:val="center"/>
          </w:tcPr>
          <w:p>
            <w:r>
              <w:rPr>
                <w:b/>
              </w:rPr>
              <w:t>Suggested Tools</w:t>
            </w:r>
          </w:p>
        </w:tc>
      </w:tr>
      <w:tr>
        <w:tc>
          <w:tcPr>
            <w:tcW w:type="dxa" w:w="4968"/>
            <w:vAlign w:val="center"/>
          </w:tcPr>
          <w:p>
            <w:r>
              <w:t>Data collection/integration</w:t>
            </w:r>
          </w:p>
        </w:tc>
        <w:tc>
          <w:tcPr>
            <w:tcW w:type="dxa" w:w="4968"/>
            <w:vAlign w:val="center"/>
          </w:tcPr>
          <w:p>
            <w:r>
              <w:t>APIs, SQL, secure CSV/JSON exports, ETL pipelines</w:t>
            </w:r>
          </w:p>
        </w:tc>
      </w:tr>
      <w:tr>
        <w:tc>
          <w:tcPr>
            <w:tcW w:type="dxa" w:w="4968"/>
            <w:vAlign w:val="center"/>
          </w:tcPr>
          <w:p>
            <w:r>
              <w:t>Data storage</w:t>
            </w:r>
          </w:p>
        </w:tc>
        <w:tc>
          <w:tcPr>
            <w:tcW w:type="dxa" w:w="4968"/>
            <w:vAlign w:val="center"/>
          </w:tcPr>
          <w:p>
            <w:r>
              <w:t>PostgreSQL / MySQL or approved government database</w:t>
            </w:r>
          </w:p>
        </w:tc>
      </w:tr>
      <w:tr>
        <w:tc>
          <w:tcPr>
            <w:tcW w:type="dxa" w:w="4968"/>
            <w:vAlign w:val="center"/>
          </w:tcPr>
          <w:p>
            <w:r>
              <w:t>Analysis</w:t>
            </w:r>
          </w:p>
        </w:tc>
        <w:tc>
          <w:tcPr>
            <w:tcW w:type="dxa" w:w="4968"/>
            <w:vAlign w:val="center"/>
          </w:tcPr>
          <w:p>
            <w:r>
              <w:t>Python (Pandas, NumPy, SciPy, Statsmodels) / R</w:t>
            </w:r>
          </w:p>
        </w:tc>
      </w:tr>
      <w:tr>
        <w:tc>
          <w:tcPr>
            <w:tcW w:type="dxa" w:w="4968"/>
            <w:vAlign w:val="center"/>
          </w:tcPr>
          <w:p>
            <w:r>
              <w:t>Visualisation</w:t>
            </w:r>
          </w:p>
        </w:tc>
        <w:tc>
          <w:tcPr>
            <w:tcW w:type="dxa" w:w="4968"/>
            <w:vAlign w:val="center"/>
          </w:tcPr>
          <w:p>
            <w:r>
              <w:t>Power BI / Tableau / Python Matplotlib</w:t>
            </w:r>
          </w:p>
        </w:tc>
      </w:tr>
      <w:tr>
        <w:tc>
          <w:tcPr>
            <w:tcW w:type="dxa" w:w="4968"/>
            <w:vAlign w:val="center"/>
          </w:tcPr>
          <w:p>
            <w:r>
              <w:t>Data quality</w:t>
            </w:r>
          </w:p>
        </w:tc>
        <w:tc>
          <w:tcPr>
            <w:tcW w:type="dxa" w:w="4968"/>
            <w:vAlign w:val="center"/>
          </w:tcPr>
          <w:p>
            <w:r>
              <w:t>SQL validation, Python profiling, rule-based checks</w:t>
            </w:r>
          </w:p>
        </w:tc>
      </w:tr>
      <w:tr>
        <w:tc>
          <w:tcPr>
            <w:tcW w:type="dxa" w:w="4968"/>
            <w:vAlign w:val="center"/>
          </w:tcPr>
          <w:p>
            <w:r>
              <w:t>Documentation</w:t>
            </w:r>
          </w:p>
        </w:tc>
        <w:tc>
          <w:tcPr>
            <w:tcW w:type="dxa" w:w="4968"/>
            <w:vAlign w:val="center"/>
          </w:tcPr>
          <w:p>
            <w:r>
              <w:t>Excel/Sheets, Markdown, Word</w:t>
            </w:r>
          </w:p>
        </w:tc>
      </w:tr>
      <w:tr>
        <w:tc>
          <w:tcPr>
            <w:tcW w:type="dxa" w:w="4968"/>
            <w:vAlign w:val="center"/>
          </w:tcPr>
          <w:p>
            <w:r>
              <w:t>Version control</w:t>
            </w:r>
          </w:p>
        </w:tc>
        <w:tc>
          <w:tcPr>
            <w:tcW w:type="dxa" w:w="4968"/>
            <w:vAlign w:val="center"/>
          </w:tcPr>
          <w:p>
            <w:r>
              <w:t>Git/GitHub or approved institutional repository</w:t>
            </w:r>
          </w:p>
        </w:tc>
      </w:tr>
      <w:tr>
        <w:tc>
          <w:tcPr>
            <w:tcW w:type="dxa" w:w="4968"/>
            <w:vAlign w:val="center"/>
          </w:tcPr>
          <w:p>
            <w:r>
              <w:t>Security</w:t>
            </w:r>
          </w:p>
        </w:tc>
        <w:tc>
          <w:tcPr>
            <w:tcW w:type="dxa" w:w="4968"/>
            <w:vAlign w:val="center"/>
          </w:tcPr>
          <w:p>
            <w:r>
              <w:t>Role-based access, encryption, audit logs, secure credentials</w:t>
            </w:r>
          </w:p>
        </w:tc>
      </w:tr>
    </w:tbl>
    <w:p>
      <w:pPr>
        <w:pStyle w:val="Heading1"/>
      </w:pPr>
      <w:r>
        <w:t>12. KPI and Evaluation Framework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Dimension</w:t>
            </w:r>
          </w:p>
        </w:tc>
        <w:tc>
          <w:tcPr>
            <w:tcW w:type="dxa" w:w="3312"/>
            <w:shd w:fill="D9EAF7"/>
            <w:vAlign w:val="center"/>
          </w:tcPr>
          <w:p>
            <w:r>
              <w:rPr>
                <w:b/>
              </w:rPr>
              <w:t>Example KPI</w:t>
            </w:r>
          </w:p>
        </w:tc>
        <w:tc>
          <w:tcPr>
            <w:tcW w:type="dxa" w:w="3312"/>
            <w:shd w:fill="D9EAF7"/>
            <w:vAlign w:val="center"/>
          </w:tcPr>
          <w:p>
            <w:r>
              <w:rPr>
                <w:b/>
              </w:rPr>
              <w:t>Why It Matters</w:t>
            </w:r>
          </w:p>
        </w:tc>
      </w:tr>
      <w:tr>
        <w:tc>
          <w:tcPr>
            <w:tcW w:type="dxa" w:w="3312"/>
            <w:vAlign w:val="center"/>
          </w:tcPr>
          <w:p>
            <w:r>
              <w:t>Adoption</w:t>
            </w:r>
          </w:p>
        </w:tc>
        <w:tc>
          <w:tcPr>
            <w:tcW w:type="dxa" w:w="3312"/>
            <w:vAlign w:val="center"/>
          </w:tcPr>
          <w:p>
            <w:r>
              <w:t>Digital service adoption rate</w:t>
            </w:r>
          </w:p>
        </w:tc>
        <w:tc>
          <w:tcPr>
            <w:tcW w:type="dxa" w:w="3312"/>
            <w:vAlign w:val="center"/>
          </w:tcPr>
          <w:p>
            <w:r>
              <w:t>Measures uptake of digital channels.</w:t>
            </w:r>
          </w:p>
        </w:tc>
      </w:tr>
      <w:tr>
        <w:tc>
          <w:tcPr>
            <w:tcW w:type="dxa" w:w="3312"/>
            <w:vAlign w:val="center"/>
          </w:tcPr>
          <w:p>
            <w:r>
              <w:t>Completion</w:t>
            </w:r>
          </w:p>
        </w:tc>
        <w:tc>
          <w:tcPr>
            <w:tcW w:type="dxa" w:w="3312"/>
            <w:vAlign w:val="center"/>
          </w:tcPr>
          <w:p>
            <w:r>
              <w:t>Application completion rate</w:t>
            </w:r>
          </w:p>
        </w:tc>
        <w:tc>
          <w:tcPr>
            <w:tcW w:type="dxa" w:w="3312"/>
            <w:vAlign w:val="center"/>
          </w:tcPr>
          <w:p>
            <w:r>
              <w:t>Shows whether users successfully finish a service.</w:t>
            </w:r>
          </w:p>
        </w:tc>
      </w:tr>
      <w:tr>
        <w:tc>
          <w:tcPr>
            <w:tcW w:type="dxa" w:w="3312"/>
            <w:vAlign w:val="center"/>
          </w:tcPr>
          <w:p>
            <w:r>
              <w:t>Abandonment</w:t>
            </w:r>
          </w:p>
        </w:tc>
        <w:tc>
          <w:tcPr>
            <w:tcW w:type="dxa" w:w="3312"/>
            <w:vAlign w:val="center"/>
          </w:tcPr>
          <w:p>
            <w:r>
              <w:t>Drop-off rate</w:t>
            </w:r>
          </w:p>
        </w:tc>
        <w:tc>
          <w:tcPr>
            <w:tcW w:type="dxa" w:w="3312"/>
            <w:vAlign w:val="center"/>
          </w:tcPr>
          <w:p>
            <w:r>
              <w:t>Identifies friction in the service journey.</w:t>
            </w:r>
          </w:p>
        </w:tc>
      </w:tr>
      <w:tr>
        <w:tc>
          <w:tcPr>
            <w:tcW w:type="dxa" w:w="3312"/>
            <w:vAlign w:val="center"/>
          </w:tcPr>
          <w:p>
            <w:r>
              <w:t>Efficiency</w:t>
            </w:r>
          </w:p>
        </w:tc>
        <w:tc>
          <w:tcPr>
            <w:tcW w:type="dxa" w:w="3312"/>
            <w:vAlign w:val="center"/>
          </w:tcPr>
          <w:p>
            <w:r>
              <w:t>Median processing time</w:t>
            </w:r>
          </w:p>
        </w:tc>
        <w:tc>
          <w:tcPr>
            <w:tcW w:type="dxa" w:w="3312"/>
            <w:vAlign w:val="center"/>
          </w:tcPr>
          <w:p>
            <w:r>
              <w:t>Tracks operational performance.</w:t>
            </w:r>
          </w:p>
        </w:tc>
      </w:tr>
      <w:tr>
        <w:tc>
          <w:tcPr>
            <w:tcW w:type="dxa" w:w="3312"/>
            <w:vAlign w:val="center"/>
          </w:tcPr>
          <w:p>
            <w:r>
              <w:t>Reliability</w:t>
            </w:r>
          </w:p>
        </w:tc>
        <w:tc>
          <w:tcPr>
            <w:tcW w:type="dxa" w:w="3312"/>
            <w:vAlign w:val="center"/>
          </w:tcPr>
          <w:p>
            <w:r>
              <w:t>Service availability / error rate</w:t>
            </w:r>
          </w:p>
        </w:tc>
        <w:tc>
          <w:tcPr>
            <w:tcW w:type="dxa" w:w="3312"/>
            <w:vAlign w:val="center"/>
          </w:tcPr>
          <w:p>
            <w:r>
              <w:t>Measures technical reliability.</w:t>
            </w:r>
          </w:p>
        </w:tc>
      </w:tr>
      <w:tr>
        <w:tc>
          <w:tcPr>
            <w:tcW w:type="dxa" w:w="3312"/>
            <w:vAlign w:val="center"/>
          </w:tcPr>
          <w:p>
            <w:r>
              <w:t>User experience</w:t>
            </w:r>
          </w:p>
        </w:tc>
        <w:tc>
          <w:tcPr>
            <w:tcW w:type="dxa" w:w="3312"/>
            <w:vAlign w:val="center"/>
          </w:tcPr>
          <w:p>
            <w:r>
              <w:t>Satisfaction score</w:t>
            </w:r>
          </w:p>
        </w:tc>
        <w:tc>
          <w:tcPr>
            <w:tcW w:type="dxa" w:w="3312"/>
            <w:vAlign w:val="center"/>
          </w:tcPr>
          <w:p>
            <w:r>
              <w:t>Captures perceived service quality.</w:t>
            </w:r>
          </w:p>
        </w:tc>
      </w:tr>
      <w:tr>
        <w:tc>
          <w:tcPr>
            <w:tcW w:type="dxa" w:w="3312"/>
            <w:vAlign w:val="center"/>
          </w:tcPr>
          <w:p>
            <w:r>
              <w:t>Accessibility</w:t>
            </w:r>
          </w:p>
        </w:tc>
        <w:tc>
          <w:tcPr>
            <w:tcW w:type="dxa" w:w="3312"/>
            <w:vAlign w:val="center"/>
          </w:tcPr>
          <w:p>
            <w:r>
              <w:t>Completion rate by relevant access segment</w:t>
            </w:r>
          </w:p>
        </w:tc>
        <w:tc>
          <w:tcPr>
            <w:tcW w:type="dxa" w:w="3312"/>
            <w:vAlign w:val="center"/>
          </w:tcPr>
          <w:p>
            <w:r>
              <w:t>Helps identify unequal service outcomes.</w:t>
            </w:r>
          </w:p>
        </w:tc>
      </w:tr>
      <w:tr>
        <w:tc>
          <w:tcPr>
            <w:tcW w:type="dxa" w:w="3312"/>
            <w:vAlign w:val="center"/>
          </w:tcPr>
          <w:p>
            <w:r>
              <w:t>Data quality</w:t>
            </w:r>
          </w:p>
        </w:tc>
        <w:tc>
          <w:tcPr>
            <w:tcW w:type="dxa" w:w="3312"/>
            <w:vAlign w:val="center"/>
          </w:tcPr>
          <w:p>
            <w:r>
              <w:t>Completeness / duplication rate</w:t>
            </w:r>
          </w:p>
        </w:tc>
        <w:tc>
          <w:tcPr>
            <w:tcW w:type="dxa" w:w="3312"/>
            <w:vAlign w:val="center"/>
          </w:tcPr>
          <w:p>
            <w:r>
              <w:t>Measures analytical readiness.</w:t>
            </w:r>
          </w:p>
        </w:tc>
      </w:tr>
      <w:tr>
        <w:tc>
          <w:tcPr>
            <w:tcW w:type="dxa" w:w="3312"/>
            <w:vAlign w:val="center"/>
          </w:tcPr>
          <w:p>
            <w:r>
              <w:t>Outcome</w:t>
            </w:r>
          </w:p>
        </w:tc>
        <w:tc>
          <w:tcPr>
            <w:tcW w:type="dxa" w:w="3312"/>
            <w:vAlign w:val="center"/>
          </w:tcPr>
          <w:p>
            <w:r>
              <w:t>Resolution/success rate</w:t>
            </w:r>
          </w:p>
        </w:tc>
        <w:tc>
          <w:tcPr>
            <w:tcW w:type="dxa" w:w="3312"/>
            <w:vAlign w:val="center"/>
          </w:tcPr>
          <w:p>
            <w:r>
              <w:t>Connects activity to service results.</w:t>
            </w:r>
          </w:p>
        </w:tc>
      </w:tr>
    </w:tbl>
    <w:p>
      <w:pPr>
        <w:pStyle w:val="Heading1"/>
      </w:pPr>
      <w:r>
        <w:t>13. Execution Roadmap: 30–35 Hours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Phase</w:t>
            </w:r>
          </w:p>
        </w:tc>
        <w:tc>
          <w:tcPr>
            <w:tcW w:type="dxa" w:w="3312"/>
            <w:shd w:fill="D9EAF7"/>
            <w:vAlign w:val="center"/>
          </w:tcPr>
          <w:p>
            <w:r>
              <w:rPr>
                <w:b/>
              </w:rPr>
              <w:t>Hours</w:t>
            </w:r>
          </w:p>
        </w:tc>
        <w:tc>
          <w:tcPr>
            <w:tcW w:type="dxa" w:w="3312"/>
            <w:shd w:fill="D9EAF7"/>
            <w:vAlign w:val="center"/>
          </w:tcPr>
          <w:p>
            <w:r>
              <w:rPr>
                <w:b/>
              </w:rPr>
              <w:t>Milestone</w:t>
            </w:r>
          </w:p>
        </w:tc>
      </w:tr>
      <w:tr>
        <w:tc>
          <w:tcPr>
            <w:tcW w:type="dxa" w:w="3312"/>
            <w:vAlign w:val="center"/>
          </w:tcPr>
          <w:p>
            <w:r>
              <w:t>Background research and benchmarking</w:t>
            </w:r>
          </w:p>
        </w:tc>
        <w:tc>
          <w:tcPr>
            <w:tcW w:type="dxa" w:w="3312"/>
            <w:vAlign w:val="center"/>
          </w:tcPr>
          <w:p>
            <w:r>
              <w:t>4 h</w:t>
            </w:r>
          </w:p>
        </w:tc>
        <w:tc>
          <w:tcPr>
            <w:tcW w:type="dxa" w:w="3312"/>
            <w:vAlign w:val="center"/>
          </w:tcPr>
          <w:p>
            <w:r>
              <w:t>Research summary and source list completed</w:t>
            </w:r>
          </w:p>
        </w:tc>
      </w:tr>
      <w:tr>
        <w:tc>
          <w:tcPr>
            <w:tcW w:type="dxa" w:w="3312"/>
            <w:vAlign w:val="center"/>
          </w:tcPr>
          <w:p>
            <w:r>
              <w:t>Problem definition and stakeholder mapping</w:t>
            </w:r>
          </w:p>
        </w:tc>
        <w:tc>
          <w:tcPr>
            <w:tcW w:type="dxa" w:w="3312"/>
            <w:vAlign w:val="center"/>
          </w:tcPr>
          <w:p>
            <w:r>
              <w:t>2 h</w:t>
            </w:r>
          </w:p>
        </w:tc>
        <w:tc>
          <w:tcPr>
            <w:tcW w:type="dxa" w:w="3312"/>
            <w:vAlign w:val="center"/>
          </w:tcPr>
          <w:p>
            <w:r>
              <w:t>Analytical questions and stakeholder map</w:t>
            </w:r>
          </w:p>
        </w:tc>
      </w:tr>
      <w:tr>
        <w:tc>
          <w:tcPr>
            <w:tcW w:type="dxa" w:w="3312"/>
            <w:vAlign w:val="center"/>
          </w:tcPr>
          <w:p>
            <w:r>
              <w:t>Data inventory and source assessment</w:t>
            </w:r>
          </w:p>
        </w:tc>
        <w:tc>
          <w:tcPr>
            <w:tcW w:type="dxa" w:w="3312"/>
            <w:vAlign w:val="center"/>
          </w:tcPr>
          <w:p>
            <w:r>
              <w:t>4 h</w:t>
            </w:r>
          </w:p>
        </w:tc>
        <w:tc>
          <w:tcPr>
            <w:tcW w:type="dxa" w:w="3312"/>
            <w:vAlign w:val="center"/>
          </w:tcPr>
          <w:p>
            <w:r>
              <w:t>Data-source register completed</w:t>
            </w:r>
          </w:p>
        </w:tc>
      </w:tr>
      <w:tr>
        <w:tc>
          <w:tcPr>
            <w:tcW w:type="dxa" w:w="3312"/>
            <w:vAlign w:val="center"/>
          </w:tcPr>
          <w:p>
            <w:r>
              <w:t>Data governance, privacy and quality framework</w:t>
            </w:r>
          </w:p>
        </w:tc>
        <w:tc>
          <w:tcPr>
            <w:tcW w:type="dxa" w:w="3312"/>
            <w:vAlign w:val="center"/>
          </w:tcPr>
          <w:p>
            <w:r>
              <w:t>3 h</w:t>
            </w:r>
          </w:p>
        </w:tc>
        <w:tc>
          <w:tcPr>
            <w:tcW w:type="dxa" w:w="3312"/>
            <w:vAlign w:val="center"/>
          </w:tcPr>
          <w:p>
            <w:r>
              <w:t>Governance and quality checklist</w:t>
            </w:r>
          </w:p>
        </w:tc>
      </w:tr>
      <w:tr>
        <w:tc>
          <w:tcPr>
            <w:tcW w:type="dxa" w:w="3312"/>
            <w:vAlign w:val="center"/>
          </w:tcPr>
          <w:p>
            <w:r>
              <w:t>Methodology and statistical plan</w:t>
            </w:r>
          </w:p>
        </w:tc>
        <w:tc>
          <w:tcPr>
            <w:tcW w:type="dxa" w:w="3312"/>
            <w:vAlign w:val="center"/>
          </w:tcPr>
          <w:p>
            <w:r>
              <w:t>5 h</w:t>
            </w:r>
          </w:p>
        </w:tc>
        <w:tc>
          <w:tcPr>
            <w:tcW w:type="dxa" w:w="3312"/>
            <w:vAlign w:val="center"/>
          </w:tcPr>
          <w:p>
            <w:r>
              <w:t>Analysis methodology approved</w:t>
            </w:r>
          </w:p>
        </w:tc>
      </w:tr>
      <w:tr>
        <w:tc>
          <w:tcPr>
            <w:tcW w:type="dxa" w:w="3312"/>
            <w:vAlign w:val="center"/>
          </w:tcPr>
          <w:p>
            <w:r>
              <w:t>KPI and evaluation framework</w:t>
            </w:r>
          </w:p>
        </w:tc>
        <w:tc>
          <w:tcPr>
            <w:tcW w:type="dxa" w:w="3312"/>
            <w:vAlign w:val="center"/>
          </w:tcPr>
          <w:p>
            <w:r>
              <w:t>3 h</w:t>
            </w:r>
          </w:p>
        </w:tc>
        <w:tc>
          <w:tcPr>
            <w:tcW w:type="dxa" w:w="3312"/>
            <w:vAlign w:val="center"/>
          </w:tcPr>
          <w:p>
            <w:r>
              <w:t>KPI catalogue completed</w:t>
            </w:r>
          </w:p>
        </w:tc>
      </w:tr>
      <w:tr>
        <w:tc>
          <w:tcPr>
            <w:tcW w:type="dxa" w:w="3312"/>
            <w:vAlign w:val="center"/>
          </w:tcPr>
          <w:p>
            <w:r>
              <w:t>Analytical workflow and tool design</w:t>
            </w:r>
          </w:p>
        </w:tc>
        <w:tc>
          <w:tcPr>
            <w:tcW w:type="dxa" w:w="3312"/>
            <w:vAlign w:val="center"/>
          </w:tcPr>
          <w:p>
            <w:r>
              <w:t>3 h</w:t>
            </w:r>
          </w:p>
        </w:tc>
        <w:tc>
          <w:tcPr>
            <w:tcW w:type="dxa" w:w="3312"/>
            <w:vAlign w:val="center"/>
          </w:tcPr>
          <w:p>
            <w:r>
              <w:t>End-to-end workflow documented</w:t>
            </w:r>
          </w:p>
        </w:tc>
      </w:tr>
      <w:tr>
        <w:tc>
          <w:tcPr>
            <w:tcW w:type="dxa" w:w="3312"/>
            <w:vAlign w:val="center"/>
          </w:tcPr>
          <w:p>
            <w:r>
              <w:t>Risk assessment and mitigation plan</w:t>
            </w:r>
          </w:p>
        </w:tc>
        <w:tc>
          <w:tcPr>
            <w:tcW w:type="dxa" w:w="3312"/>
            <w:vAlign w:val="center"/>
          </w:tcPr>
          <w:p>
            <w:r>
              <w:t>2 h</w:t>
            </w:r>
          </w:p>
        </w:tc>
        <w:tc>
          <w:tcPr>
            <w:tcW w:type="dxa" w:w="3312"/>
            <w:vAlign w:val="center"/>
          </w:tcPr>
          <w:p>
            <w:r>
              <w:t>Risk register completed</w:t>
            </w:r>
          </w:p>
        </w:tc>
      </w:tr>
      <w:tr>
        <w:tc>
          <w:tcPr>
            <w:tcW w:type="dxa" w:w="3312"/>
            <w:vAlign w:val="center"/>
          </w:tcPr>
          <w:p>
            <w:r>
              <w:t>Strategic plan/document preparation</w:t>
            </w:r>
          </w:p>
        </w:tc>
        <w:tc>
          <w:tcPr>
            <w:tcW w:type="dxa" w:w="3312"/>
            <w:vAlign w:val="center"/>
          </w:tcPr>
          <w:p>
            <w:r>
              <w:t>5 h</w:t>
            </w:r>
          </w:p>
        </w:tc>
        <w:tc>
          <w:tcPr>
            <w:tcW w:type="dxa" w:w="3312"/>
            <w:vAlign w:val="center"/>
          </w:tcPr>
          <w:p>
            <w:r>
              <w:t>Full draft assembled</w:t>
            </w:r>
          </w:p>
        </w:tc>
      </w:tr>
      <w:tr>
        <w:tc>
          <w:tcPr>
            <w:tcW w:type="dxa" w:w="3312"/>
            <w:vAlign w:val="center"/>
          </w:tcPr>
          <w:p>
            <w:r>
              <w:t>Review, validation and finalisation</w:t>
            </w:r>
          </w:p>
        </w:tc>
        <w:tc>
          <w:tcPr>
            <w:tcW w:type="dxa" w:w="3312"/>
            <w:vAlign w:val="center"/>
          </w:tcPr>
          <w:p>
            <w:r>
              <w:t>3 h</w:t>
            </w:r>
          </w:p>
        </w:tc>
        <w:tc>
          <w:tcPr>
            <w:tcW w:type="dxa" w:w="3312"/>
            <w:vAlign w:val="center"/>
          </w:tcPr>
          <w:p>
            <w:r>
              <w:t>Final document checked and submitted</w:t>
            </w:r>
          </w:p>
        </w:tc>
      </w:tr>
      <w:tr>
        <w:tc>
          <w:tcPr>
            <w:tcW w:type="dxa" w:w="3312"/>
            <w:vAlign w:val="center"/>
          </w:tcPr>
          <w:p>
            <w:r>
              <w:t>TOTAL</w:t>
            </w:r>
          </w:p>
        </w:tc>
        <w:tc>
          <w:tcPr>
            <w:tcW w:type="dxa" w:w="3312"/>
            <w:vAlign w:val="center"/>
          </w:tcPr>
          <w:p>
            <w:r>
              <w:t>34 h</w:t>
            </w:r>
          </w:p>
        </w:tc>
        <w:tc>
          <w:tcPr>
            <w:tcW w:type="dxa" w:w="3312"/>
            <w:vAlign w:val="center"/>
          </w:tcPr>
          <w:p>
            <w:r>
              <w:t>Complete Week 1 strategic plan</w:t>
            </w:r>
          </w:p>
        </w:tc>
      </w:tr>
    </w:tbl>
    <w:p>
      <w:pPr>
        <w:pStyle w:val="Heading1"/>
      </w:pPr>
      <w:r>
        <w:t>14. Risk Assessment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Risk</w:t>
            </w:r>
          </w:p>
        </w:tc>
        <w:tc>
          <w:tcPr>
            <w:tcW w:type="dxa" w:w="3312"/>
            <w:shd w:fill="D9EAF7"/>
            <w:vAlign w:val="center"/>
          </w:tcPr>
          <w:p>
            <w:r>
              <w:rPr>
                <w:b/>
              </w:rPr>
              <w:t>Impact</w:t>
            </w:r>
          </w:p>
        </w:tc>
        <w:tc>
          <w:tcPr>
            <w:tcW w:type="dxa" w:w="3312"/>
            <w:shd w:fill="D9EAF7"/>
            <w:vAlign w:val="center"/>
          </w:tcPr>
          <w:p>
            <w:r>
              <w:rPr>
                <w:b/>
              </w:rPr>
              <w:t>Mitigation</w:t>
            </w:r>
          </w:p>
        </w:tc>
      </w:tr>
      <w:tr>
        <w:tc>
          <w:tcPr>
            <w:tcW w:type="dxa" w:w="3312"/>
            <w:vAlign w:val="center"/>
          </w:tcPr>
          <w:p>
            <w:r>
              <w:t>Poor data quality</w:t>
            </w:r>
          </w:p>
        </w:tc>
        <w:tc>
          <w:tcPr>
            <w:tcW w:type="dxa" w:w="3312"/>
            <w:vAlign w:val="center"/>
          </w:tcPr>
          <w:p>
            <w:r>
              <w:t>High</w:t>
            </w:r>
          </w:p>
        </w:tc>
        <w:tc>
          <w:tcPr>
            <w:tcW w:type="dxa" w:w="3312"/>
            <w:vAlign w:val="center"/>
          </w:tcPr>
          <w:p>
            <w:r>
              <w:t>Profiling, validation rules, quality thresholds and source-owner review.</w:t>
            </w:r>
          </w:p>
        </w:tc>
      </w:tr>
      <w:tr>
        <w:tc>
          <w:tcPr>
            <w:tcW w:type="dxa" w:w="3312"/>
            <w:vAlign w:val="center"/>
          </w:tcPr>
          <w:p>
            <w:r>
              <w:t>Missing data</w:t>
            </w:r>
          </w:p>
        </w:tc>
        <w:tc>
          <w:tcPr>
            <w:tcW w:type="dxa" w:w="3312"/>
            <w:vAlign w:val="center"/>
          </w:tcPr>
          <w:p>
            <w:r>
              <w:t>High</w:t>
            </w:r>
          </w:p>
        </w:tc>
        <w:tc>
          <w:tcPr>
            <w:tcW w:type="dxa" w:w="3312"/>
            <w:vAlign w:val="center"/>
          </w:tcPr>
          <w:p>
            <w:r>
              <w:t>Document missingness; assess bias; use approved methods for handling missing values.</w:t>
            </w:r>
          </w:p>
        </w:tc>
      </w:tr>
      <w:tr>
        <w:tc>
          <w:tcPr>
            <w:tcW w:type="dxa" w:w="3312"/>
            <w:vAlign w:val="center"/>
          </w:tcPr>
          <w:p>
            <w:r>
              <w:t>Privacy breach</w:t>
            </w:r>
          </w:p>
        </w:tc>
        <w:tc>
          <w:tcPr>
            <w:tcW w:type="dxa" w:w="3312"/>
            <w:vAlign w:val="center"/>
          </w:tcPr>
          <w:p>
            <w:r>
              <w:t>Very High</w:t>
            </w:r>
          </w:p>
        </w:tc>
        <w:tc>
          <w:tcPr>
            <w:tcW w:type="dxa" w:w="3312"/>
            <w:vAlign w:val="center"/>
          </w:tcPr>
          <w:p>
            <w:r>
              <w:t>Data minimisation, anonymisation/pseudonymisation where appropriate, access control and secure storage.</w:t>
            </w:r>
          </w:p>
        </w:tc>
      </w:tr>
      <w:tr>
        <w:tc>
          <w:tcPr>
            <w:tcW w:type="dxa" w:w="3312"/>
            <w:vAlign w:val="center"/>
          </w:tcPr>
          <w:p>
            <w:r>
              <w:t>Cybersecurity incident</w:t>
            </w:r>
          </w:p>
        </w:tc>
        <w:tc>
          <w:tcPr>
            <w:tcW w:type="dxa" w:w="3312"/>
            <w:vAlign w:val="center"/>
          </w:tcPr>
          <w:p>
            <w:r>
              <w:t>Very High</w:t>
            </w:r>
          </w:p>
        </w:tc>
        <w:tc>
          <w:tcPr>
            <w:tcW w:type="dxa" w:w="3312"/>
            <w:vAlign w:val="center"/>
          </w:tcPr>
          <w:p>
            <w:r>
              <w:t>Encryption, least privilege, secure credentials, monitoring and incident response.</w:t>
            </w:r>
          </w:p>
        </w:tc>
      </w:tr>
      <w:tr>
        <w:tc>
          <w:tcPr>
            <w:tcW w:type="dxa" w:w="3312"/>
            <w:vAlign w:val="center"/>
          </w:tcPr>
          <w:p>
            <w:r>
              <w:t>Fragmented systems</w:t>
            </w:r>
          </w:p>
        </w:tc>
        <w:tc>
          <w:tcPr>
            <w:tcW w:type="dxa" w:w="3312"/>
            <w:vAlign w:val="center"/>
          </w:tcPr>
          <w:p>
            <w:r>
              <w:t>High</w:t>
            </w:r>
          </w:p>
        </w:tc>
        <w:tc>
          <w:tcPr>
            <w:tcW w:type="dxa" w:w="3312"/>
            <w:vAlign w:val="center"/>
          </w:tcPr>
          <w:p>
            <w:r>
              <w:t>Common identifiers, interoperability standards and documented data mappings.</w:t>
            </w:r>
          </w:p>
        </w:tc>
      </w:tr>
      <w:tr>
        <w:tc>
          <w:tcPr>
            <w:tcW w:type="dxa" w:w="3312"/>
            <w:vAlign w:val="center"/>
          </w:tcPr>
          <w:p>
            <w:r>
              <w:t>Analytical bias</w:t>
            </w:r>
          </w:p>
        </w:tc>
        <w:tc>
          <w:tcPr>
            <w:tcW w:type="dxa" w:w="3312"/>
            <w:vAlign w:val="center"/>
          </w:tcPr>
          <w:p>
            <w:r>
              <w:t>High</w:t>
            </w:r>
          </w:p>
        </w:tc>
        <w:tc>
          <w:tcPr>
            <w:tcW w:type="dxa" w:w="3312"/>
            <w:vAlign w:val="center"/>
          </w:tcPr>
          <w:p>
            <w:r>
              <w:t>Representative data checks, subgroup analysis, validation and human review.</w:t>
            </w:r>
          </w:p>
        </w:tc>
      </w:tr>
      <w:tr>
        <w:tc>
          <w:tcPr>
            <w:tcW w:type="dxa" w:w="3312"/>
            <w:vAlign w:val="center"/>
          </w:tcPr>
          <w:p>
            <w:r>
              <w:t>Misinterpretation of correlation</w:t>
            </w:r>
          </w:p>
        </w:tc>
        <w:tc>
          <w:tcPr>
            <w:tcW w:type="dxa" w:w="3312"/>
            <w:vAlign w:val="center"/>
          </w:tcPr>
          <w:p>
            <w:r>
              <w:t>Medium</w:t>
            </w:r>
          </w:p>
        </w:tc>
        <w:tc>
          <w:tcPr>
            <w:tcW w:type="dxa" w:w="3312"/>
            <w:vAlign w:val="center"/>
          </w:tcPr>
          <w:p>
            <w:r>
              <w:t>Document assumptions and avoid causal claims without appropriate design.</w:t>
            </w:r>
          </w:p>
        </w:tc>
      </w:tr>
      <w:tr>
        <w:tc>
          <w:tcPr>
            <w:tcW w:type="dxa" w:w="3312"/>
            <w:vAlign w:val="center"/>
          </w:tcPr>
          <w:p>
            <w:r>
              <w:t>Low user adoption</w:t>
            </w:r>
          </w:p>
        </w:tc>
        <w:tc>
          <w:tcPr>
            <w:tcW w:type="dxa" w:w="3312"/>
            <w:vAlign w:val="center"/>
          </w:tcPr>
          <w:p>
            <w:r>
              <w:t>High</w:t>
            </w:r>
          </w:p>
        </w:tc>
        <w:tc>
          <w:tcPr>
            <w:tcW w:type="dxa" w:w="3312"/>
            <w:vAlign w:val="center"/>
          </w:tcPr>
          <w:p>
            <w:r>
              <w:t>Usability testing, accessibility review, feedback analysis and service redesign.</w:t>
            </w:r>
          </w:p>
        </w:tc>
      </w:tr>
      <w:tr>
        <w:tc>
          <w:tcPr>
            <w:tcW w:type="dxa" w:w="3312"/>
            <w:vAlign w:val="center"/>
          </w:tcPr>
          <w:p>
            <w:r>
              <w:t>Tool/skill limitations</w:t>
            </w:r>
          </w:p>
        </w:tc>
        <w:tc>
          <w:tcPr>
            <w:tcW w:type="dxa" w:w="3312"/>
            <w:vAlign w:val="center"/>
          </w:tcPr>
          <w:p>
            <w:r>
              <w:t>Medium</w:t>
            </w:r>
          </w:p>
        </w:tc>
        <w:tc>
          <w:tcPr>
            <w:tcW w:type="dxa" w:w="3312"/>
            <w:vAlign w:val="center"/>
          </w:tcPr>
          <w:p>
            <w:r>
              <w:t>Standardised tools, documentation, training and peer review.</w:t>
            </w:r>
          </w:p>
        </w:tc>
      </w:tr>
      <w:tr>
        <w:tc>
          <w:tcPr>
            <w:tcW w:type="dxa" w:w="3312"/>
            <w:vAlign w:val="center"/>
          </w:tcPr>
          <w:p>
            <w:r>
              <w:t>Timeline overrun</w:t>
            </w:r>
          </w:p>
        </w:tc>
        <w:tc>
          <w:tcPr>
            <w:tcW w:type="dxa" w:w="3312"/>
            <w:vAlign w:val="center"/>
          </w:tcPr>
          <w:p>
            <w:r>
              <w:t>Medium</w:t>
            </w:r>
          </w:p>
        </w:tc>
        <w:tc>
          <w:tcPr>
            <w:tcW w:type="dxa" w:w="3312"/>
            <w:vAlign w:val="center"/>
          </w:tcPr>
          <w:p>
            <w:r>
              <w:t>Prioritise critical deliverables, define milestones and maintain a task tracker.</w:t>
            </w:r>
          </w:p>
        </w:tc>
      </w:tr>
    </w:tbl>
    <w:p>
      <w:pPr>
        <w:pStyle w:val="Heading1"/>
      </w:pPr>
      <w:r>
        <w:t>15. Data Governance and Ethical Principles</w:t>
      </w:r>
    </w:p>
    <w:p>
      <w:pPr>
        <w:pStyle w:val="ListBullet"/>
      </w:pPr>
      <w:r>
        <w:t>Purpose limitation: collect and analyse data for clearly defined legitimate purposes.</w:t>
      </w:r>
    </w:p>
    <w:p>
      <w:pPr>
        <w:pStyle w:val="ListBullet"/>
      </w:pPr>
      <w:r>
        <w:t>Data minimisation: use only the data required for the analytical objective.</w:t>
      </w:r>
    </w:p>
    <w:p>
      <w:pPr>
        <w:pStyle w:val="ListBullet"/>
      </w:pPr>
      <w:r>
        <w:t>Accuracy and quality: maintain documented validation and correction processes.</w:t>
      </w:r>
    </w:p>
    <w:p>
      <w:pPr>
        <w:pStyle w:val="ListBullet"/>
      </w:pPr>
      <w:r>
        <w:t>Security: apply appropriate technical and organisational safeguards.</w:t>
      </w:r>
    </w:p>
    <w:p>
      <w:pPr>
        <w:pStyle w:val="ListBullet"/>
      </w:pPr>
      <w:r>
        <w:t>Transparency: document data sources, transformations, assumptions and limitations.</w:t>
      </w:r>
    </w:p>
    <w:p>
      <w:pPr>
        <w:pStyle w:val="ListBullet"/>
      </w:pPr>
      <w:r>
        <w:t>Accountability: assign data owners, analysts and reviewers with clear responsibilities.</w:t>
      </w:r>
    </w:p>
    <w:p>
      <w:pPr>
        <w:pStyle w:val="ListBullet"/>
      </w:pPr>
      <w:r>
        <w:t>Fairness and inclusion: examine whether service performance differs across relevant groups.</w:t>
      </w:r>
    </w:p>
    <w:p>
      <w:pPr>
        <w:pStyle w:val="ListBullet"/>
      </w:pPr>
      <w:r>
        <w:t>Human oversight: keep appropriate human review for consequential decisions.</w:t>
      </w:r>
    </w:p>
    <w:p>
      <w:pPr>
        <w:pStyle w:val="ListBullet"/>
      </w:pPr>
      <w:r>
        <w:t>Retention and disposal: retain information only as long as justified by policy and law.</w:t>
      </w:r>
    </w:p>
    <w:p>
      <w:pPr>
        <w:pStyle w:val="ListBullet"/>
      </w:pPr>
      <w:r>
        <w:t>Auditability: maintain records of analytical transformations and significant decisions.</w:t>
      </w:r>
    </w:p>
    <w:p>
      <w:r>
        <w:t>These principles align with OECD guidance on data ethics and data-driven public-sector governance. citeturn0search1turn0search10</w:t>
      </w:r>
    </w:p>
    <w:p>
      <w:pPr>
        <w:pStyle w:val="Heading1"/>
      </w:pPr>
      <w:r>
        <w:t>16. Reporting and Communication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Audience</w:t>
            </w:r>
          </w:p>
        </w:tc>
        <w:tc>
          <w:tcPr>
            <w:tcW w:type="dxa" w:w="3312"/>
            <w:shd w:fill="D9EAF7"/>
            <w:vAlign w:val="center"/>
          </w:tcPr>
          <w:p>
            <w:r>
              <w:rPr>
                <w:b/>
              </w:rPr>
              <w:t>Output</w:t>
            </w:r>
          </w:p>
        </w:tc>
        <w:tc>
          <w:tcPr>
            <w:tcW w:type="dxa" w:w="3312"/>
            <w:shd w:fill="D9EAF7"/>
            <w:vAlign w:val="center"/>
          </w:tcPr>
          <w:p>
            <w:r>
              <w:rPr>
                <w:b/>
              </w:rPr>
              <w:t>Frequency</w:t>
            </w:r>
          </w:p>
        </w:tc>
      </w:tr>
      <w:tr>
        <w:tc>
          <w:tcPr>
            <w:tcW w:type="dxa" w:w="3312"/>
            <w:vAlign w:val="center"/>
          </w:tcPr>
          <w:p>
            <w:r>
              <w:t>Senior decision-makers</w:t>
            </w:r>
          </w:p>
        </w:tc>
        <w:tc>
          <w:tcPr>
            <w:tcW w:type="dxa" w:w="3312"/>
            <w:vAlign w:val="center"/>
          </w:tcPr>
          <w:p>
            <w:r>
              <w:t>Executive dashboard and key findings</w:t>
            </w:r>
          </w:p>
        </w:tc>
        <w:tc>
          <w:tcPr>
            <w:tcW w:type="dxa" w:w="3312"/>
            <w:vAlign w:val="center"/>
          </w:tcPr>
          <w:p>
            <w:r>
              <w:t>Monthly/quarterly</w:t>
            </w:r>
          </w:p>
        </w:tc>
      </w:tr>
      <w:tr>
        <w:tc>
          <w:tcPr>
            <w:tcW w:type="dxa" w:w="3312"/>
            <w:vAlign w:val="center"/>
          </w:tcPr>
          <w:p>
            <w:r>
              <w:t>Service managers</w:t>
            </w:r>
          </w:p>
        </w:tc>
        <w:tc>
          <w:tcPr>
            <w:tcW w:type="dxa" w:w="3312"/>
            <w:vAlign w:val="center"/>
          </w:tcPr>
          <w:p>
            <w:r>
              <w:t>Operational KPI dashboard</w:t>
            </w:r>
          </w:p>
        </w:tc>
        <w:tc>
          <w:tcPr>
            <w:tcW w:type="dxa" w:w="3312"/>
            <w:vAlign w:val="center"/>
          </w:tcPr>
          <w:p>
            <w:r>
              <w:t>Weekly/monthly</w:t>
            </w:r>
          </w:p>
        </w:tc>
      </w:tr>
      <w:tr>
        <w:tc>
          <w:tcPr>
            <w:tcW w:type="dxa" w:w="3312"/>
            <w:vAlign w:val="center"/>
          </w:tcPr>
          <w:p>
            <w:r>
              <w:t>Data/IT teams</w:t>
            </w:r>
          </w:p>
        </w:tc>
        <w:tc>
          <w:tcPr>
            <w:tcW w:type="dxa" w:w="3312"/>
            <w:vAlign w:val="center"/>
          </w:tcPr>
          <w:p>
            <w:r>
              <w:t>Data-quality and system-performance report</w:t>
            </w:r>
          </w:p>
        </w:tc>
        <w:tc>
          <w:tcPr>
            <w:tcW w:type="dxa" w:w="3312"/>
            <w:vAlign w:val="center"/>
          </w:tcPr>
          <w:p>
            <w:r>
              <w:t>Weekly/monthly</w:t>
            </w:r>
          </w:p>
        </w:tc>
      </w:tr>
      <w:tr>
        <w:tc>
          <w:tcPr>
            <w:tcW w:type="dxa" w:w="3312"/>
            <w:vAlign w:val="center"/>
          </w:tcPr>
          <w:p>
            <w:r>
              <w:t>Service-design teams</w:t>
            </w:r>
          </w:p>
        </w:tc>
        <w:tc>
          <w:tcPr>
            <w:tcW w:type="dxa" w:w="3312"/>
            <w:vAlign w:val="center"/>
          </w:tcPr>
          <w:p>
            <w:r>
              <w:t>User journey and feedback insights</w:t>
            </w:r>
          </w:p>
        </w:tc>
        <w:tc>
          <w:tcPr>
            <w:tcW w:type="dxa" w:w="3312"/>
            <w:vAlign w:val="center"/>
          </w:tcPr>
          <w:p>
            <w:r>
              <w:t>Monthly/quarterly</w:t>
            </w:r>
          </w:p>
        </w:tc>
      </w:tr>
      <w:tr>
        <w:tc>
          <w:tcPr>
            <w:tcW w:type="dxa" w:w="3312"/>
            <w:vAlign w:val="center"/>
          </w:tcPr>
          <w:p>
            <w:r>
              <w:t>Public users, where appropriate</w:t>
            </w:r>
          </w:p>
        </w:tc>
        <w:tc>
          <w:tcPr>
            <w:tcW w:type="dxa" w:w="3312"/>
            <w:vAlign w:val="center"/>
          </w:tcPr>
          <w:p>
            <w:r>
              <w:t>Aggregated transparency indicators</w:t>
            </w:r>
          </w:p>
        </w:tc>
        <w:tc>
          <w:tcPr>
            <w:tcW w:type="dxa" w:w="3312"/>
            <w:vAlign w:val="center"/>
          </w:tcPr>
          <w:p>
            <w:r>
              <w:t>Periodic/public release</w:t>
            </w:r>
          </w:p>
        </w:tc>
      </w:tr>
    </w:tbl>
    <w:p>
      <w:pPr>
        <w:pStyle w:val="Heading1"/>
      </w:pPr>
      <w:r>
        <w:t>17. Success Criteria</w:t>
      </w:r>
    </w:p>
    <w:p>
      <w:pPr>
        <w:pStyle w:val="ListBullet"/>
      </w:pPr>
      <w:r>
        <w:t>All critical data sources are documented with owners and permitted uses.</w:t>
      </w:r>
    </w:p>
    <w:p>
      <w:pPr>
        <w:pStyle w:val="ListBullet"/>
      </w:pPr>
      <w:r>
        <w:t>Data-quality checks are defined before substantive analysis.</w:t>
      </w:r>
    </w:p>
    <w:p>
      <w:pPr>
        <w:pStyle w:val="ListBullet"/>
      </w:pPr>
      <w:r>
        <w:t>Each major analytical question has a measurable indicator.</w:t>
      </w:r>
    </w:p>
    <w:p>
      <w:pPr>
        <w:pStyle w:val="ListBullet"/>
      </w:pPr>
      <w:r>
        <w:t>The methodology is reproducible and documented.</w:t>
      </w:r>
    </w:p>
    <w:p>
      <w:pPr>
        <w:pStyle w:val="ListBullet"/>
      </w:pPr>
      <w:r>
        <w:t>Risks have named mitigation actions.</w:t>
      </w:r>
    </w:p>
    <w:p>
      <w:pPr>
        <w:pStyle w:val="ListBullet"/>
      </w:pPr>
      <w:r>
        <w:t>The 34-hour plan produces all required Week 1 deliverables.</w:t>
      </w:r>
    </w:p>
    <w:p>
      <w:pPr>
        <w:pStyle w:val="ListBullet"/>
      </w:pPr>
      <w:r>
        <w:t>Findings and recommendations can be traced to evidence and measurable KPIs.</w:t>
      </w:r>
    </w:p>
    <w:p>
      <w:pPr>
        <w:pStyle w:val="Heading1"/>
      </w:pPr>
      <w:r>
        <w:t>18. Expected Strategic Impact</w:t>
      </w:r>
    </w:p>
    <w:p>
      <w:r>
        <w:t>The framework is designed to help public organisations move from simply digitising services toward continuously improving them through evidence. By combining service analytics, user feedback, data-quality management, interoperability considerations and responsible governance, the approach can support more reliable, efficient, inclusive and user-centred digital services.</w:t>
      </w:r>
    </w:p>
    <w:p>
      <w:r>
        <w:t>The OECD's 2026 Digital Government Outlook emphasises that shared infrastructure and data governance need to be accompanied by user-centric design, reliable interoperability and impact measurement. citeturn0search2</w:t>
      </w:r>
    </w:p>
    <w:p>
      <w:pPr>
        <w:pStyle w:val="Heading1"/>
      </w:pPr>
      <w:r>
        <w:t>19. Conclusion</w:t>
      </w:r>
    </w:p>
    <w:p>
      <w:r>
        <w:t>This strategic plan provides a structured foundation for a large-scale e-governance data-analysis project. It defines what should be measured, how data should be collected and prepared, which analytical methods can be applied, how progress can be evaluated, and how risks should be controlled. The 34-hour execution roadmap converts the strategy into practical milestones, while the governance principles ensure that analytical value is balanced with privacy, security, fairness, transparency and accountability.</w:t>
      </w:r>
    </w:p>
    <w:p>
      <w:pPr>
        <w:pStyle w:val="Heading1"/>
      </w:pPr>
      <w:r>
        <w:t>20. References</w:t>
      </w:r>
    </w:p>
    <w:p>
      <w:pPr>
        <w:pStyle w:val="ListNumber"/>
      </w:pPr>
      <w:r>
        <w:t>OECD (2026), Digital Government Outlook 2026.</w:t>
      </w:r>
    </w:p>
    <w:p>
      <w:pPr>
        <w:pStyle w:val="ListNumber"/>
      </w:pPr>
      <w:r>
        <w:t>OECD (2026), Digital Government Index and Open, Useful and Re-usable Data Index: 2025 Results and Key Findings.</w:t>
      </w:r>
    </w:p>
    <w:p>
      <w:pPr>
        <w:pStyle w:val="ListNumber"/>
      </w:pPr>
      <w:r>
        <w:t>OECD (2024), Digital Public Infrastructure for Digital Governments.</w:t>
      </w:r>
    </w:p>
    <w:p>
      <w:pPr>
        <w:pStyle w:val="ListNumber"/>
      </w:pPr>
      <w:r>
        <w:t>OECD (2021), Good Practice Principles for Data Ethics in the Public Sector.</w:t>
      </w:r>
    </w:p>
    <w:p>
      <w:pPr>
        <w:pStyle w:val="ListNumber"/>
      </w:pPr>
      <w:r>
        <w:t>OECD (2019), The Path to Becoming a Data-Driven Public Sector.</w:t>
      </w:r>
    </w:p>
    <w:p>
      <w:pPr>
        <w:pStyle w:val="ListNumber"/>
      </w:pPr>
      <w:r>
        <w:t>World Bank (2025), Digital Government.</w:t>
      </w:r>
    </w:p>
    <w:p>
      <w:pPr>
        <w:pStyle w:val="ListNumber"/>
      </w:pPr>
      <w:r>
        <w:t>World Bank Group, Digital Public Infrastructure and Services.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Strategic Plan | E-Governance Data Analysis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