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5B9BD5"/>
          <w:sz w:val="28"/>
        </w:rPr>
        <w:t>WEEK 6 EVALUATIVE REPORT</w:t>
      </w:r>
    </w:p>
    <w:p>
      <w:pPr>
        <w:spacing w:before="200"/>
        <w:jc w:val="center"/>
      </w:pPr>
      <w:r>
        <w:rPr>
          <w:b/>
          <w:color w:val="1F4E79"/>
          <w:sz w:val="50"/>
        </w:rPr>
        <w:t>Evaluation Metrics and Strategic</w:t>
        <w:br/>
        <w:t>Recommendations for Improvement</w:t>
      </w:r>
    </w:p>
    <w:p>
      <w:pPr>
        <w:spacing w:before="240"/>
        <w:jc w:val="center"/>
      </w:pPr>
      <w:r>
        <w:rPr>
          <w:i/>
          <w:sz w:val="28"/>
        </w:rPr>
        <w:t>E-Governance and Digital Public Services</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sz w:val="20"/>
              </w:rPr>
              <w:t>Prepared by</w:t>
            </w:r>
          </w:p>
        </w:tc>
        <w:tc>
          <w:tcPr>
            <w:tcW w:type="dxa" w:w="4968"/>
            <w:vAlign w:val="center"/>
          </w:tcPr>
          <w:p>
            <w:pPr>
              <w:spacing w:after="0"/>
            </w:pPr>
            <w:r/>
            <w:r>
              <w:rPr>
                <w:b w:val="0"/>
                <w:sz w:val="20"/>
              </w:rPr>
              <w:t>Swara Avinash Dawkhar</w:t>
            </w:r>
          </w:p>
        </w:tc>
      </w:tr>
      <w:tr>
        <w:tc>
          <w:tcPr>
            <w:tcW w:type="dxa" w:w="4968"/>
            <w:vAlign w:val="center"/>
            <w:shd w:fill="D9EAF7"/>
          </w:tcPr>
          <w:p>
            <w:pPr>
              <w:spacing w:after="0"/>
            </w:pPr>
            <w:r/>
            <w:r>
              <w:rPr>
                <w:b/>
                <w:sz w:val="20"/>
              </w:rPr>
              <w:t>Programme</w:t>
            </w:r>
          </w:p>
        </w:tc>
        <w:tc>
          <w:tcPr>
            <w:tcW w:type="dxa" w:w="4968"/>
            <w:vAlign w:val="center"/>
          </w:tcPr>
          <w:p>
            <w:pPr>
              <w:spacing w:after="0"/>
            </w:pPr>
            <w:r/>
            <w:r>
              <w:rPr>
                <w:b w:val="0"/>
                <w:sz w:val="20"/>
              </w:rPr>
              <w:t>B.Tech – Computer Science and Engineering</w:t>
            </w:r>
          </w:p>
        </w:tc>
      </w:tr>
      <w:tr>
        <w:tc>
          <w:tcPr>
            <w:tcW w:type="dxa" w:w="4968"/>
            <w:vAlign w:val="center"/>
            <w:shd w:fill="D9EAF7"/>
          </w:tcPr>
          <w:p>
            <w:pPr>
              <w:spacing w:after="0"/>
            </w:pPr>
            <w:r/>
            <w:r>
              <w:rPr>
                <w:b/>
                <w:sz w:val="20"/>
              </w:rPr>
              <w:t>Task</w:t>
            </w:r>
          </w:p>
        </w:tc>
        <w:tc>
          <w:tcPr>
            <w:tcW w:type="dxa" w:w="4968"/>
            <w:vAlign w:val="center"/>
          </w:tcPr>
          <w:p>
            <w:pPr>
              <w:spacing w:after="0"/>
            </w:pPr>
            <w:r/>
            <w:r>
              <w:rPr>
                <w:b w:val="0"/>
                <w:sz w:val="20"/>
              </w:rPr>
              <w:t>Week 6: Evaluation Metrics and Strategic Recommendations</w:t>
            </w:r>
          </w:p>
        </w:tc>
      </w:tr>
      <w:tr>
        <w:tc>
          <w:tcPr>
            <w:tcW w:type="dxa" w:w="4968"/>
            <w:vAlign w:val="center"/>
            <w:shd w:fill="D9EAF7"/>
          </w:tcPr>
          <w:p>
            <w:pPr>
              <w:spacing w:after="0"/>
            </w:pPr>
            <w:r/>
            <w:r>
              <w:rPr>
                <w:b/>
                <w:sz w:val="20"/>
              </w:rPr>
              <w:t>Estimated work period</w:t>
            </w:r>
          </w:p>
        </w:tc>
        <w:tc>
          <w:tcPr>
            <w:tcW w:type="dxa" w:w="4968"/>
            <w:vAlign w:val="center"/>
          </w:tcPr>
          <w:p>
            <w:pPr>
              <w:spacing w:after="0"/>
            </w:pPr>
            <w:r/>
            <w:r>
              <w:rPr>
                <w:b w:val="0"/>
                <w:sz w:val="20"/>
              </w:rPr>
              <w:t>30–35 hours</w:t>
            </w:r>
          </w:p>
        </w:tc>
      </w:tr>
    </w:tbl>
    <w:p/>
    <w:p>
      <w:pPr>
        <w:spacing w:before="700"/>
        <w:jc w:val="center"/>
      </w:pPr>
      <w:r>
        <w:rPr>
          <w:color w:val="646464"/>
          <w:sz w:val="20"/>
        </w:rPr>
        <w:t>Submitted as an internship task report</w:t>
      </w:r>
    </w:p>
    <w:p>
      <w:r>
        <w:br w:type="page"/>
      </w:r>
    </w:p>
    <w:p>
      <w:pPr>
        <w:pStyle w:val="Heading1"/>
      </w:pPr>
      <w:r>
        <w:t>Executive Summary</w:t>
      </w:r>
    </w:p>
    <w:p>
      <w:r>
        <w:t>Digital public services can reduce the time, cost, and effort required for citizens to access government information and complete administrative processes. However, launching a portal or mobile application does not by itself prove that a service is effective. Performance must be evaluated using measurable indicators, citizen feedback, service-quality evidence, and clear improvement targets. This report proposes a practical evaluation framework for e-governance services, covering efficiency, accessibility and inclusion, transparency, reliability, user satisfaction, and service outcomes.</w:t>
      </w:r>
    </w:p>
    <w:p>
      <w:r>
        <w:t>The framework combines quantitative indicators—such as completion rate, median processing time, system availability, and complaint-resolution time—with qualitative evidence from surveys, interviews, usability tests, and grievance comments. It also explains how data acquisition, cleaning, descriptive statistics, regression, classification, clustering, and visualization can support evaluation. Since no specific dataset or measured results were supplied with the task instructions, the report does not claim that actual performance results have been observed. Instead, it provides a baseline-to-target method, example decision rules, and recommendations that should be validated against the available dataset.</w:t>
      </w:r>
    </w:p>
    <w:p>
      <w:pPr>
        <w:pStyle w:val="Heading1"/>
      </w:pPr>
      <w:r>
        <w:t>1. Introduction and Purpose</w:t>
      </w:r>
    </w:p>
    <w:p>
      <w:r>
        <w:t>E-governance uses digital technologies to deliver public information and services, manage records, receive applications, process payments, and communicate decisions. Effective evaluation helps administrators understand whether a service is reaching its intended users, delivering results promptly, protecting information, and treating different groups fairly. It also helps prioritize limited budgets and staff time.</w:t>
      </w:r>
    </w:p>
    <w:p>
      <w:r>
        <w:t>The purpose of this report is to:</w:t>
      </w:r>
    </w:p>
    <w:p>
      <w:pPr>
        <w:pStyle w:val="ListBullet"/>
      </w:pPr>
      <w:r>
        <w:t>Define clear quantitative and qualitative indicators for evaluating digital public services.</w:t>
      </w:r>
    </w:p>
    <w:p>
      <w:pPr>
        <w:pStyle w:val="ListBullet"/>
      </w:pPr>
      <w:r>
        <w:t>Set out a repeatable process for collecting, checking, analyzing, and interpreting evidence.</w:t>
      </w:r>
    </w:p>
    <w:p>
      <w:pPr>
        <w:pStyle w:val="ListBullet"/>
      </w:pPr>
      <w:r>
        <w:t>Connect analytical methods used in earlier data-analysis tasks to evaluation questions.</w:t>
      </w:r>
    </w:p>
    <w:p>
      <w:pPr>
        <w:pStyle w:val="ListBullet"/>
      </w:pPr>
      <w:r>
        <w:t>Recommend feasible service improvements and contingency actions.</w:t>
      </w:r>
    </w:p>
    <w:p>
      <w:pPr>
        <w:pStyle w:val="ListBullet"/>
      </w:pPr>
      <w:r>
        <w:t>Provide a realistic 30–35-hour work plan and an approach for monitoring progress.</w:t>
      </w:r>
    </w:p>
    <w:p>
      <w:pPr>
        <w:pStyle w:val="Heading1"/>
      </w:pPr>
      <w:r>
        <w:t>2. Scope, Assumptions, and Evaluation Questions</w:t>
      </w:r>
    </w:p>
    <w:p>
      <w:r>
        <w:t>The framework can be applied to services such as online certificates, benefit applications, utility payments, grievance portals, appointment booking, and public-information websites. The exact indicators should be adjusted to the service being assessed and to the fields available in the dataset.</w:t>
      </w:r>
    </w:p>
    <w:p>
      <w:pPr>
        <w:pStyle w:val="Heading2"/>
      </w:pPr>
      <w:r>
        <w:t>2.1 Key evaluation questions</w:t>
      </w:r>
    </w:p>
    <w:p>
      <w:pPr>
        <w:pStyle w:val="ListBullet"/>
      </w:pPr>
      <w:r>
        <w:t>Efficiency: Are applications completed with less waiting, fewer repeat visits, and fewer avoidable errors?</w:t>
      </w:r>
    </w:p>
    <w:p>
      <w:pPr>
        <w:pStyle w:val="ListBullet"/>
      </w:pPr>
      <w:r>
        <w:t>Accessibility: Can people with different devices, abilities, languages, connectivity levels, and levels of digital literacy use the service?</w:t>
      </w:r>
    </w:p>
    <w:p>
      <w:pPr>
        <w:pStyle w:val="ListBullet"/>
      </w:pPr>
      <w:r>
        <w:t>Transparency: Can users understand eligibility, fees, application status, required documents, and reasons for decisions?</w:t>
      </w:r>
    </w:p>
    <w:p>
      <w:pPr>
        <w:pStyle w:val="ListBullet"/>
      </w:pPr>
      <w:r>
        <w:t>Reliability and security: Is the service available, dependable, and managed with appropriate privacy and security controls?</w:t>
      </w:r>
    </w:p>
    <w:p>
      <w:pPr>
        <w:pStyle w:val="ListBullet"/>
      </w:pPr>
      <w:r>
        <w:t>Effectiveness and satisfaction: Does the service resolve the citizen’s need correctly, and are users satisfied with the experience?</w:t>
      </w:r>
    </w:p>
    <w:p>
      <w:pPr>
        <w:pStyle w:val="ListBullet"/>
      </w:pPr>
      <w:r>
        <w:t>Equity: Are completion rates and processing times comparable across regions and user groups, where lawful and appropriate data are available?</w:t>
      </w:r>
    </w:p>
    <w:p>
      <w:pPr>
        <w:pStyle w:val="Heading2"/>
      </w:pPr>
      <w:r>
        <w:t>2.2 Important assumptions</w:t>
      </w:r>
    </w:p>
    <w:p>
      <w:r>
        <w:t>The report is a proposed evaluation design, not a claim that a particular government department has achieved a specific result. Baseline values should be calculated from verified data. Targets in this report are illustrative starting points and must be agreed with service owners after considering the service’s legal deadlines, complexity, resources, and current performance. Personal information should be minimized, access-controlled, and analyzed in aggregated form wherever possible.</w:t>
      </w:r>
    </w:p>
    <w:p>
      <w:pPr>
        <w:pStyle w:val="Heading1"/>
      </w:pPr>
      <w:r>
        <w:t>3. Success Metrics and Evaluation Criteria</w:t>
      </w:r>
    </w:p>
    <w:p>
      <w:r>
        <w:t>A useful metric must have a clear definition, a reliable data source, a calculation method, a reporting frequency, an accountable owner, and an interpretation rule. Metrics should be reviewed together: for example, reducing processing time is not a success if error rates or unequal access increase.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
              <w:rPr>
                <w:b/>
                <w:sz w:val="14"/>
              </w:rPr>
              <w:t>Dimension</w:t>
            </w:r>
          </w:p>
        </w:tc>
        <w:tc>
          <w:tcPr>
            <w:tcW w:type="dxa" w:w="1656"/>
            <w:vAlign w:val="center"/>
            <w:shd w:fill="D9EAF7"/>
          </w:tcPr>
          <w:p>
            <w:pPr>
              <w:spacing w:after="0"/>
            </w:pPr>
            <w:r/>
            <w:r>
              <w:rPr>
                <w:b/>
                <w:sz w:val="14"/>
              </w:rPr>
              <w:t>Metric</w:t>
            </w:r>
          </w:p>
        </w:tc>
        <w:tc>
          <w:tcPr>
            <w:tcW w:type="dxa" w:w="1656"/>
            <w:vAlign w:val="center"/>
            <w:shd w:fill="D9EAF7"/>
          </w:tcPr>
          <w:p>
            <w:pPr>
              <w:spacing w:after="0"/>
            </w:pPr>
            <w:r/>
            <w:r>
              <w:rPr>
                <w:b/>
                <w:sz w:val="14"/>
              </w:rPr>
              <w:t>Definition / Calculation</w:t>
            </w:r>
          </w:p>
        </w:tc>
        <w:tc>
          <w:tcPr>
            <w:tcW w:type="dxa" w:w="1656"/>
            <w:vAlign w:val="center"/>
            <w:shd w:fill="D9EAF7"/>
          </w:tcPr>
          <w:p>
            <w:pPr>
              <w:spacing w:after="0"/>
            </w:pPr>
            <w:r/>
            <w:r>
              <w:rPr>
                <w:b/>
                <w:sz w:val="14"/>
              </w:rPr>
              <w:t>Possible source</w:t>
            </w:r>
          </w:p>
        </w:tc>
        <w:tc>
          <w:tcPr>
            <w:tcW w:type="dxa" w:w="1656"/>
            <w:vAlign w:val="center"/>
            <w:shd w:fill="D9EAF7"/>
          </w:tcPr>
          <w:p>
            <w:pPr>
              <w:spacing w:after="0"/>
            </w:pPr>
            <w:r/>
            <w:r>
              <w:rPr>
                <w:b/>
                <w:sz w:val="14"/>
              </w:rPr>
              <w:t>Frequency</w:t>
            </w:r>
          </w:p>
        </w:tc>
        <w:tc>
          <w:tcPr>
            <w:tcW w:type="dxa" w:w="1656"/>
            <w:vAlign w:val="center"/>
            <w:shd w:fill="D9EAF7"/>
          </w:tcPr>
          <w:p>
            <w:pPr>
              <w:spacing w:after="0"/>
            </w:pPr>
            <w:r/>
            <w:r>
              <w:rPr>
                <w:b/>
                <w:sz w:val="14"/>
              </w:rPr>
              <w:t>Interpretation</w:t>
            </w:r>
          </w:p>
        </w:tc>
      </w:tr>
      <w:tr>
        <w:tc>
          <w:tcPr>
            <w:tcW w:type="dxa" w:w="1656"/>
            <w:vAlign w:val="center"/>
          </w:tcPr>
          <w:p>
            <w:pPr>
              <w:spacing w:after="0"/>
            </w:pPr>
            <w:r/>
            <w:r>
              <w:rPr>
                <w:b w:val="0"/>
                <w:sz w:val="14"/>
              </w:rPr>
              <w:t>Efficiency</w:t>
            </w:r>
          </w:p>
        </w:tc>
        <w:tc>
          <w:tcPr>
            <w:tcW w:type="dxa" w:w="1656"/>
            <w:vAlign w:val="center"/>
          </w:tcPr>
          <w:p>
            <w:pPr>
              <w:spacing w:after="0"/>
            </w:pPr>
            <w:r/>
            <w:r>
              <w:rPr>
                <w:b w:val="0"/>
                <w:sz w:val="14"/>
              </w:rPr>
              <w:t>Application completion rate</w:t>
            </w:r>
          </w:p>
        </w:tc>
        <w:tc>
          <w:tcPr>
            <w:tcW w:type="dxa" w:w="1656"/>
            <w:vAlign w:val="center"/>
          </w:tcPr>
          <w:p>
            <w:pPr>
              <w:spacing w:after="0"/>
            </w:pPr>
            <w:r/>
            <w:r>
              <w:rPr>
                <w:b w:val="0"/>
                <w:sz w:val="14"/>
              </w:rPr>
              <w:t>Completed applications ÷ started applications × 100</w:t>
            </w:r>
          </w:p>
        </w:tc>
        <w:tc>
          <w:tcPr>
            <w:tcW w:type="dxa" w:w="1656"/>
            <w:vAlign w:val="center"/>
          </w:tcPr>
          <w:p>
            <w:pPr>
              <w:spacing w:after="0"/>
            </w:pPr>
            <w:r/>
            <w:r>
              <w:rPr>
                <w:b w:val="0"/>
                <w:sz w:val="14"/>
              </w:rPr>
              <w:t>Application/event logs</w:t>
            </w:r>
          </w:p>
        </w:tc>
        <w:tc>
          <w:tcPr>
            <w:tcW w:type="dxa" w:w="1656"/>
            <w:vAlign w:val="center"/>
          </w:tcPr>
          <w:p>
            <w:pPr>
              <w:spacing w:after="0"/>
            </w:pPr>
            <w:r/>
            <w:r>
              <w:rPr>
                <w:b w:val="0"/>
                <w:sz w:val="14"/>
              </w:rPr>
              <w:t>Weekly/monthly</w:t>
            </w:r>
          </w:p>
        </w:tc>
        <w:tc>
          <w:tcPr>
            <w:tcW w:type="dxa" w:w="1656"/>
            <w:vAlign w:val="center"/>
          </w:tcPr>
          <w:p>
            <w:pPr>
              <w:spacing w:after="0"/>
            </w:pPr>
            <w:r/>
            <w:r>
              <w:rPr>
                <w:b w:val="0"/>
                <w:sz w:val="14"/>
              </w:rPr>
              <w:t>Higher is better; examine drop-off points.</w:t>
            </w:r>
          </w:p>
        </w:tc>
      </w:tr>
      <w:tr>
        <w:tc>
          <w:tcPr>
            <w:tcW w:type="dxa" w:w="1656"/>
            <w:vAlign w:val="center"/>
          </w:tcPr>
          <w:p>
            <w:pPr>
              <w:spacing w:after="0"/>
            </w:pPr>
            <w:r/>
            <w:r>
              <w:rPr>
                <w:b w:val="0"/>
                <w:sz w:val="14"/>
              </w:rPr>
              <w:t>Efficiency</w:t>
            </w:r>
          </w:p>
        </w:tc>
        <w:tc>
          <w:tcPr>
            <w:tcW w:type="dxa" w:w="1656"/>
            <w:vAlign w:val="center"/>
          </w:tcPr>
          <w:p>
            <w:pPr>
              <w:spacing w:after="0"/>
            </w:pPr>
            <w:r/>
            <w:r>
              <w:rPr>
                <w:b w:val="0"/>
                <w:sz w:val="14"/>
              </w:rPr>
              <w:t>Median processing time</w:t>
            </w:r>
          </w:p>
        </w:tc>
        <w:tc>
          <w:tcPr>
            <w:tcW w:type="dxa" w:w="1656"/>
            <w:vAlign w:val="center"/>
          </w:tcPr>
          <w:p>
            <w:pPr>
              <w:spacing w:after="0"/>
            </w:pPr>
            <w:r/>
            <w:r>
              <w:rPr>
                <w:b w:val="0"/>
                <w:sz w:val="14"/>
              </w:rPr>
              <w:t>Median time from valid submission to decision</w:t>
            </w:r>
          </w:p>
        </w:tc>
        <w:tc>
          <w:tcPr>
            <w:tcW w:type="dxa" w:w="1656"/>
            <w:vAlign w:val="center"/>
          </w:tcPr>
          <w:p>
            <w:pPr>
              <w:spacing w:after="0"/>
            </w:pPr>
            <w:r/>
            <w:r>
              <w:rPr>
                <w:b w:val="0"/>
                <w:sz w:val="14"/>
              </w:rPr>
              <w:t>Timestamped case records</w:t>
            </w:r>
          </w:p>
        </w:tc>
        <w:tc>
          <w:tcPr>
            <w:tcW w:type="dxa" w:w="1656"/>
            <w:vAlign w:val="center"/>
          </w:tcPr>
          <w:p>
            <w:pPr>
              <w:spacing w:after="0"/>
            </w:pPr>
            <w:r/>
            <w:r>
              <w:rPr>
                <w:b w:val="0"/>
                <w:sz w:val="14"/>
              </w:rPr>
              <w:t>Weekly/monthly</w:t>
            </w:r>
          </w:p>
        </w:tc>
        <w:tc>
          <w:tcPr>
            <w:tcW w:type="dxa" w:w="1656"/>
            <w:vAlign w:val="center"/>
          </w:tcPr>
          <w:p>
            <w:pPr>
              <w:spacing w:after="0"/>
            </w:pPr>
            <w:r/>
            <w:r>
              <w:rPr>
                <w:b w:val="0"/>
                <w:sz w:val="14"/>
              </w:rPr>
              <w:t>Lower is generally better; segment by case complexity.</w:t>
            </w:r>
          </w:p>
        </w:tc>
      </w:tr>
      <w:tr>
        <w:tc>
          <w:tcPr>
            <w:tcW w:type="dxa" w:w="1656"/>
            <w:vAlign w:val="center"/>
          </w:tcPr>
          <w:p>
            <w:pPr>
              <w:spacing w:after="0"/>
            </w:pPr>
            <w:r/>
            <w:r>
              <w:rPr>
                <w:b w:val="0"/>
                <w:sz w:val="14"/>
              </w:rPr>
              <w:t>Efficiency</w:t>
            </w:r>
          </w:p>
        </w:tc>
        <w:tc>
          <w:tcPr>
            <w:tcW w:type="dxa" w:w="1656"/>
            <w:vAlign w:val="center"/>
          </w:tcPr>
          <w:p>
            <w:pPr>
              <w:spacing w:after="0"/>
            </w:pPr>
            <w:r/>
            <w:r>
              <w:rPr>
                <w:b w:val="0"/>
                <w:sz w:val="14"/>
              </w:rPr>
              <w:t>First-time-right rate</w:t>
            </w:r>
          </w:p>
        </w:tc>
        <w:tc>
          <w:tcPr>
            <w:tcW w:type="dxa" w:w="1656"/>
            <w:vAlign w:val="center"/>
          </w:tcPr>
          <w:p>
            <w:pPr>
              <w:spacing w:after="0"/>
            </w:pPr>
            <w:r/>
            <w:r>
              <w:rPr>
                <w:b w:val="0"/>
                <w:sz w:val="14"/>
              </w:rPr>
              <w:t>Applications accepted without correction ÷ submitted applications × 100</w:t>
            </w:r>
          </w:p>
        </w:tc>
        <w:tc>
          <w:tcPr>
            <w:tcW w:type="dxa" w:w="1656"/>
            <w:vAlign w:val="center"/>
          </w:tcPr>
          <w:p>
            <w:pPr>
              <w:spacing w:after="0"/>
            </w:pPr>
            <w:r/>
            <w:r>
              <w:rPr>
                <w:b w:val="0"/>
                <w:sz w:val="14"/>
              </w:rPr>
              <w:t>Validation and case records</w:t>
            </w:r>
          </w:p>
        </w:tc>
        <w:tc>
          <w:tcPr>
            <w:tcW w:type="dxa" w:w="1656"/>
            <w:vAlign w:val="center"/>
          </w:tcPr>
          <w:p>
            <w:pPr>
              <w:spacing w:after="0"/>
            </w:pPr>
            <w:r/>
            <w:r>
              <w:rPr>
                <w:b w:val="0"/>
                <w:sz w:val="14"/>
              </w:rPr>
              <w:t>Monthly</w:t>
            </w:r>
          </w:p>
        </w:tc>
        <w:tc>
          <w:tcPr>
            <w:tcW w:type="dxa" w:w="1656"/>
            <w:vAlign w:val="center"/>
          </w:tcPr>
          <w:p>
            <w:pPr>
              <w:spacing w:after="0"/>
            </w:pPr>
            <w:r/>
            <w:r>
              <w:rPr>
                <w:b w:val="0"/>
                <w:sz w:val="14"/>
              </w:rPr>
              <w:t>Higher is better; identify common error fields.</w:t>
            </w:r>
          </w:p>
        </w:tc>
      </w:tr>
      <w:tr>
        <w:tc>
          <w:tcPr>
            <w:tcW w:type="dxa" w:w="1656"/>
            <w:vAlign w:val="center"/>
          </w:tcPr>
          <w:p>
            <w:pPr>
              <w:spacing w:after="0"/>
            </w:pPr>
            <w:r/>
            <w:r>
              <w:rPr>
                <w:b w:val="0"/>
                <w:sz w:val="14"/>
              </w:rPr>
              <w:t>Efficiency</w:t>
            </w:r>
          </w:p>
        </w:tc>
        <w:tc>
          <w:tcPr>
            <w:tcW w:type="dxa" w:w="1656"/>
            <w:vAlign w:val="center"/>
          </w:tcPr>
          <w:p>
            <w:pPr>
              <w:spacing w:after="0"/>
            </w:pPr>
            <w:r/>
            <w:r>
              <w:rPr>
                <w:b w:val="0"/>
                <w:sz w:val="14"/>
              </w:rPr>
              <w:t>Cost per completed transaction</w:t>
            </w:r>
          </w:p>
        </w:tc>
        <w:tc>
          <w:tcPr>
            <w:tcW w:type="dxa" w:w="1656"/>
            <w:vAlign w:val="center"/>
          </w:tcPr>
          <w:p>
            <w:pPr>
              <w:spacing w:after="0"/>
            </w:pPr>
            <w:r/>
            <w:r>
              <w:rPr>
                <w:b w:val="0"/>
                <w:sz w:val="14"/>
              </w:rPr>
              <w:t>Operating cost ÷ completed transactions</w:t>
            </w:r>
          </w:p>
        </w:tc>
        <w:tc>
          <w:tcPr>
            <w:tcW w:type="dxa" w:w="1656"/>
            <w:vAlign w:val="center"/>
          </w:tcPr>
          <w:p>
            <w:pPr>
              <w:spacing w:after="0"/>
            </w:pPr>
            <w:r/>
            <w:r>
              <w:rPr>
                <w:b w:val="0"/>
                <w:sz w:val="14"/>
              </w:rPr>
              <w:t>Finance and transaction data</w:t>
            </w:r>
          </w:p>
        </w:tc>
        <w:tc>
          <w:tcPr>
            <w:tcW w:type="dxa" w:w="1656"/>
            <w:vAlign w:val="center"/>
          </w:tcPr>
          <w:p>
            <w:pPr>
              <w:spacing w:after="0"/>
            </w:pPr>
            <w:r/>
            <w:r>
              <w:rPr>
                <w:b w:val="0"/>
                <w:sz w:val="14"/>
              </w:rPr>
              <w:t>Quarterly</w:t>
            </w:r>
          </w:p>
        </w:tc>
        <w:tc>
          <w:tcPr>
            <w:tcW w:type="dxa" w:w="1656"/>
            <w:vAlign w:val="center"/>
          </w:tcPr>
          <w:p>
            <w:pPr>
              <w:spacing w:after="0"/>
            </w:pPr>
            <w:r/>
            <w:r>
              <w:rPr>
                <w:b w:val="0"/>
                <w:sz w:val="14"/>
              </w:rPr>
              <w:t>Interpret with quality and accessibility measures.</w:t>
            </w:r>
          </w:p>
        </w:tc>
      </w:tr>
      <w:tr>
        <w:tc>
          <w:tcPr>
            <w:tcW w:type="dxa" w:w="1656"/>
            <w:vAlign w:val="center"/>
          </w:tcPr>
          <w:p>
            <w:pPr>
              <w:spacing w:after="0"/>
            </w:pPr>
            <w:r/>
            <w:r>
              <w:rPr>
                <w:b w:val="0"/>
                <w:sz w:val="14"/>
              </w:rPr>
              <w:t>Accessibility</w:t>
            </w:r>
          </w:p>
        </w:tc>
        <w:tc>
          <w:tcPr>
            <w:tcW w:type="dxa" w:w="1656"/>
            <w:vAlign w:val="center"/>
          </w:tcPr>
          <w:p>
            <w:pPr>
              <w:spacing w:after="0"/>
            </w:pPr>
            <w:r/>
            <w:r>
              <w:rPr>
                <w:b w:val="0"/>
                <w:sz w:val="14"/>
              </w:rPr>
              <w:t>Task success by channel/device</w:t>
            </w:r>
          </w:p>
        </w:tc>
        <w:tc>
          <w:tcPr>
            <w:tcW w:type="dxa" w:w="1656"/>
            <w:vAlign w:val="center"/>
          </w:tcPr>
          <w:p>
            <w:pPr>
              <w:spacing w:after="0"/>
            </w:pPr>
            <w:r/>
            <w:r>
              <w:rPr>
                <w:b w:val="0"/>
                <w:sz w:val="14"/>
              </w:rPr>
              <w:t>Successful tasks ÷ attempted tasks, segmented by channel/device</w:t>
            </w:r>
          </w:p>
        </w:tc>
        <w:tc>
          <w:tcPr>
            <w:tcW w:type="dxa" w:w="1656"/>
            <w:vAlign w:val="center"/>
          </w:tcPr>
          <w:p>
            <w:pPr>
              <w:spacing w:after="0"/>
            </w:pPr>
            <w:r/>
            <w:r>
              <w:rPr>
                <w:b w:val="0"/>
                <w:sz w:val="14"/>
              </w:rPr>
              <w:t>Analytics and usability tests</w:t>
            </w:r>
          </w:p>
        </w:tc>
        <w:tc>
          <w:tcPr>
            <w:tcW w:type="dxa" w:w="1656"/>
            <w:vAlign w:val="center"/>
          </w:tcPr>
          <w:p>
            <w:pPr>
              <w:spacing w:after="0"/>
            </w:pPr>
            <w:r/>
            <w:r>
              <w:rPr>
                <w:b w:val="0"/>
                <w:sz w:val="14"/>
              </w:rPr>
              <w:t>Monthly/quarterly</w:t>
            </w:r>
          </w:p>
        </w:tc>
        <w:tc>
          <w:tcPr>
            <w:tcW w:type="dxa" w:w="1656"/>
            <w:vAlign w:val="center"/>
          </w:tcPr>
          <w:p>
            <w:pPr>
              <w:spacing w:after="0"/>
            </w:pPr>
            <w:r/>
            <w:r>
              <w:rPr>
                <w:b w:val="0"/>
                <w:sz w:val="14"/>
              </w:rPr>
              <w:t>Investigate large differences between groups.</w:t>
            </w:r>
          </w:p>
        </w:tc>
      </w:tr>
      <w:tr>
        <w:tc>
          <w:tcPr>
            <w:tcW w:type="dxa" w:w="1656"/>
            <w:vAlign w:val="center"/>
          </w:tcPr>
          <w:p>
            <w:pPr>
              <w:spacing w:after="0"/>
            </w:pPr>
            <w:r/>
            <w:r>
              <w:rPr>
                <w:b w:val="0"/>
                <w:sz w:val="14"/>
              </w:rPr>
              <w:t>Accessibility</w:t>
            </w:r>
          </w:p>
        </w:tc>
        <w:tc>
          <w:tcPr>
            <w:tcW w:type="dxa" w:w="1656"/>
            <w:vAlign w:val="center"/>
          </w:tcPr>
          <w:p>
            <w:pPr>
              <w:spacing w:after="0"/>
            </w:pPr>
            <w:r/>
            <w:r>
              <w:rPr>
                <w:b w:val="0"/>
                <w:sz w:val="14"/>
              </w:rPr>
              <w:t>Accessibility defect rate</w:t>
            </w:r>
          </w:p>
        </w:tc>
        <w:tc>
          <w:tcPr>
            <w:tcW w:type="dxa" w:w="1656"/>
            <w:vAlign w:val="center"/>
          </w:tcPr>
          <w:p>
            <w:pPr>
              <w:spacing w:after="0"/>
            </w:pPr>
            <w:r/>
            <w:r>
              <w:rPr>
                <w:b w:val="0"/>
                <w:sz w:val="14"/>
              </w:rPr>
              <w:t>Critical/high-priority accessibility defects found per test cycle</w:t>
            </w:r>
          </w:p>
        </w:tc>
        <w:tc>
          <w:tcPr>
            <w:tcW w:type="dxa" w:w="1656"/>
            <w:vAlign w:val="center"/>
          </w:tcPr>
          <w:p>
            <w:pPr>
              <w:spacing w:after="0"/>
            </w:pPr>
            <w:r/>
            <w:r>
              <w:rPr>
                <w:b w:val="0"/>
                <w:sz w:val="14"/>
              </w:rPr>
              <w:t>Accessibility audits</w:t>
            </w:r>
          </w:p>
        </w:tc>
        <w:tc>
          <w:tcPr>
            <w:tcW w:type="dxa" w:w="1656"/>
            <w:vAlign w:val="center"/>
          </w:tcPr>
          <w:p>
            <w:pPr>
              <w:spacing w:after="0"/>
            </w:pPr>
            <w:r/>
            <w:r>
              <w:rPr>
                <w:b w:val="0"/>
                <w:sz w:val="14"/>
              </w:rPr>
              <w:t>Release cycle</w:t>
            </w:r>
          </w:p>
        </w:tc>
        <w:tc>
          <w:tcPr>
            <w:tcW w:type="dxa" w:w="1656"/>
            <w:vAlign w:val="center"/>
          </w:tcPr>
          <w:p>
            <w:pPr>
              <w:spacing w:after="0"/>
            </w:pPr>
            <w:r/>
            <w:r>
              <w:rPr>
                <w:b w:val="0"/>
                <w:sz w:val="14"/>
              </w:rPr>
              <w:t>Lower is better; critical barriers require prompt action.</w:t>
            </w:r>
          </w:p>
        </w:tc>
      </w:tr>
      <w:tr>
        <w:tc>
          <w:tcPr>
            <w:tcW w:type="dxa" w:w="1656"/>
            <w:vAlign w:val="center"/>
          </w:tcPr>
          <w:p>
            <w:pPr>
              <w:spacing w:after="0"/>
            </w:pPr>
            <w:r/>
            <w:r>
              <w:rPr>
                <w:b w:val="0"/>
                <w:sz w:val="14"/>
              </w:rPr>
              <w:t>Accessibility</w:t>
            </w:r>
          </w:p>
        </w:tc>
        <w:tc>
          <w:tcPr>
            <w:tcW w:type="dxa" w:w="1656"/>
            <w:vAlign w:val="center"/>
          </w:tcPr>
          <w:p>
            <w:pPr>
              <w:spacing w:after="0"/>
            </w:pPr>
            <w:r/>
            <w:r>
              <w:rPr>
                <w:b w:val="0"/>
                <w:sz w:val="14"/>
              </w:rPr>
              <w:t>Language and assisted-service coverage</w:t>
            </w:r>
          </w:p>
        </w:tc>
        <w:tc>
          <w:tcPr>
            <w:tcW w:type="dxa" w:w="1656"/>
            <w:vAlign w:val="center"/>
          </w:tcPr>
          <w:p>
            <w:pPr>
              <w:spacing w:after="0"/>
            </w:pPr>
            <w:r/>
            <w:r>
              <w:rPr>
                <w:b w:val="0"/>
                <w:sz w:val="14"/>
              </w:rPr>
              <w:t>Share of priority tasks available in supported languages and assistance channels</w:t>
            </w:r>
          </w:p>
        </w:tc>
        <w:tc>
          <w:tcPr>
            <w:tcW w:type="dxa" w:w="1656"/>
            <w:vAlign w:val="center"/>
          </w:tcPr>
          <w:p>
            <w:pPr>
              <w:spacing w:after="0"/>
            </w:pPr>
            <w:r/>
            <w:r>
              <w:rPr>
                <w:b w:val="0"/>
                <w:sz w:val="14"/>
              </w:rPr>
              <w:t>Service inventory and helpdesk</w:t>
            </w:r>
          </w:p>
        </w:tc>
        <w:tc>
          <w:tcPr>
            <w:tcW w:type="dxa" w:w="1656"/>
            <w:vAlign w:val="center"/>
          </w:tcPr>
          <w:p>
            <w:pPr>
              <w:spacing w:after="0"/>
            </w:pPr>
            <w:r/>
            <w:r>
              <w:rPr>
                <w:b w:val="0"/>
                <w:sz w:val="14"/>
              </w:rPr>
              <w:t>Quarterly</w:t>
            </w:r>
          </w:p>
        </w:tc>
        <w:tc>
          <w:tcPr>
            <w:tcW w:type="dxa" w:w="1656"/>
            <w:vAlign w:val="center"/>
          </w:tcPr>
          <w:p>
            <w:pPr>
              <w:spacing w:after="0"/>
            </w:pPr>
            <w:r/>
            <w:r>
              <w:rPr>
                <w:b w:val="0"/>
                <w:sz w:val="14"/>
              </w:rPr>
              <w:t>Higher coverage is better where user needs support it.</w:t>
            </w:r>
          </w:p>
        </w:tc>
      </w:tr>
      <w:tr>
        <w:tc>
          <w:tcPr>
            <w:tcW w:type="dxa" w:w="1656"/>
            <w:vAlign w:val="center"/>
          </w:tcPr>
          <w:p>
            <w:pPr>
              <w:spacing w:after="0"/>
            </w:pPr>
            <w:r/>
            <w:r>
              <w:rPr>
                <w:b w:val="0"/>
                <w:sz w:val="14"/>
              </w:rPr>
              <w:t>Transparency</w:t>
            </w:r>
          </w:p>
        </w:tc>
        <w:tc>
          <w:tcPr>
            <w:tcW w:type="dxa" w:w="1656"/>
            <w:vAlign w:val="center"/>
          </w:tcPr>
          <w:p>
            <w:pPr>
              <w:spacing w:after="0"/>
            </w:pPr>
            <w:r/>
            <w:r>
              <w:rPr>
                <w:b w:val="0"/>
                <w:sz w:val="14"/>
              </w:rPr>
              <w:t>Status visibility rate</w:t>
            </w:r>
          </w:p>
        </w:tc>
        <w:tc>
          <w:tcPr>
            <w:tcW w:type="dxa" w:w="1656"/>
            <w:vAlign w:val="center"/>
          </w:tcPr>
          <w:p>
            <w:pPr>
              <w:spacing w:after="0"/>
            </w:pPr>
            <w:r/>
            <w:r>
              <w:rPr>
                <w:b w:val="0"/>
                <w:sz w:val="14"/>
              </w:rPr>
              <w:t>Cases with a current, understandable status update ÷ active cases × 100</w:t>
            </w:r>
          </w:p>
        </w:tc>
        <w:tc>
          <w:tcPr>
            <w:tcW w:type="dxa" w:w="1656"/>
            <w:vAlign w:val="center"/>
          </w:tcPr>
          <w:p>
            <w:pPr>
              <w:spacing w:after="0"/>
            </w:pPr>
            <w:r/>
            <w:r>
              <w:rPr>
                <w:b w:val="0"/>
                <w:sz w:val="14"/>
              </w:rPr>
              <w:t>Portal and case-management logs</w:t>
            </w:r>
          </w:p>
        </w:tc>
        <w:tc>
          <w:tcPr>
            <w:tcW w:type="dxa" w:w="1656"/>
            <w:vAlign w:val="center"/>
          </w:tcPr>
          <w:p>
            <w:pPr>
              <w:spacing w:after="0"/>
            </w:pPr>
            <w:r/>
            <w:r>
              <w:rPr>
                <w:b w:val="0"/>
                <w:sz w:val="14"/>
              </w:rPr>
              <w:t>Monthly</w:t>
            </w:r>
          </w:p>
        </w:tc>
        <w:tc>
          <w:tcPr>
            <w:tcW w:type="dxa" w:w="1656"/>
            <w:vAlign w:val="center"/>
          </w:tcPr>
          <w:p>
            <w:pPr>
              <w:spacing w:after="0"/>
            </w:pPr>
            <w:r/>
            <w:r>
              <w:rPr>
                <w:b w:val="0"/>
                <w:sz w:val="14"/>
              </w:rPr>
              <w:t>Higher is better; status must be meaningful and timely.</w:t>
            </w:r>
          </w:p>
        </w:tc>
      </w:tr>
      <w:tr>
        <w:tc>
          <w:tcPr>
            <w:tcW w:type="dxa" w:w="1656"/>
            <w:vAlign w:val="center"/>
          </w:tcPr>
          <w:p>
            <w:pPr>
              <w:spacing w:after="0"/>
            </w:pPr>
            <w:r/>
            <w:r>
              <w:rPr>
                <w:b w:val="0"/>
                <w:sz w:val="14"/>
              </w:rPr>
              <w:t>Transparency</w:t>
            </w:r>
          </w:p>
        </w:tc>
        <w:tc>
          <w:tcPr>
            <w:tcW w:type="dxa" w:w="1656"/>
            <w:vAlign w:val="center"/>
          </w:tcPr>
          <w:p>
            <w:pPr>
              <w:spacing w:after="0"/>
            </w:pPr>
            <w:r/>
            <w:r>
              <w:rPr>
                <w:b w:val="0"/>
                <w:sz w:val="14"/>
              </w:rPr>
              <w:t>Grievance resolution within SLA</w:t>
            </w:r>
          </w:p>
        </w:tc>
        <w:tc>
          <w:tcPr>
            <w:tcW w:type="dxa" w:w="1656"/>
            <w:vAlign w:val="center"/>
          </w:tcPr>
          <w:p>
            <w:pPr>
              <w:spacing w:after="0"/>
            </w:pPr>
            <w:r/>
            <w:r>
              <w:rPr>
                <w:b w:val="0"/>
                <w:sz w:val="14"/>
              </w:rPr>
              <w:t>Grievances resolved within published target ÷ resolved grievances × 100</w:t>
            </w:r>
          </w:p>
        </w:tc>
        <w:tc>
          <w:tcPr>
            <w:tcW w:type="dxa" w:w="1656"/>
            <w:vAlign w:val="center"/>
          </w:tcPr>
          <w:p>
            <w:pPr>
              <w:spacing w:after="0"/>
            </w:pPr>
            <w:r/>
            <w:r>
              <w:rPr>
                <w:b w:val="0"/>
                <w:sz w:val="14"/>
              </w:rPr>
              <w:t>Grievance system</w:t>
            </w:r>
          </w:p>
        </w:tc>
        <w:tc>
          <w:tcPr>
            <w:tcW w:type="dxa" w:w="1656"/>
            <w:vAlign w:val="center"/>
          </w:tcPr>
          <w:p>
            <w:pPr>
              <w:spacing w:after="0"/>
            </w:pPr>
            <w:r/>
            <w:r>
              <w:rPr>
                <w:b w:val="0"/>
                <w:sz w:val="14"/>
              </w:rPr>
              <w:t>Monthly</w:t>
            </w:r>
          </w:p>
        </w:tc>
        <w:tc>
          <w:tcPr>
            <w:tcW w:type="dxa" w:w="1656"/>
            <w:vAlign w:val="center"/>
          </w:tcPr>
          <w:p>
            <w:pPr>
              <w:spacing w:after="0"/>
            </w:pPr>
            <w:r/>
            <w:r>
              <w:rPr>
                <w:b w:val="0"/>
                <w:sz w:val="14"/>
              </w:rPr>
              <w:t>Higher is better; monitor reopen rates too.</w:t>
            </w:r>
          </w:p>
        </w:tc>
      </w:tr>
      <w:tr>
        <w:tc>
          <w:tcPr>
            <w:tcW w:type="dxa" w:w="1656"/>
            <w:vAlign w:val="center"/>
          </w:tcPr>
          <w:p>
            <w:pPr>
              <w:spacing w:after="0"/>
            </w:pPr>
            <w:r/>
            <w:r>
              <w:rPr>
                <w:b w:val="0"/>
                <w:sz w:val="14"/>
              </w:rPr>
              <w:t>Reliability</w:t>
            </w:r>
          </w:p>
        </w:tc>
        <w:tc>
          <w:tcPr>
            <w:tcW w:type="dxa" w:w="1656"/>
            <w:vAlign w:val="center"/>
          </w:tcPr>
          <w:p>
            <w:pPr>
              <w:spacing w:after="0"/>
            </w:pPr>
            <w:r/>
            <w:r>
              <w:rPr>
                <w:b w:val="0"/>
                <w:sz w:val="14"/>
              </w:rPr>
              <w:t>Service availability</w:t>
            </w:r>
          </w:p>
        </w:tc>
        <w:tc>
          <w:tcPr>
            <w:tcW w:type="dxa" w:w="1656"/>
            <w:vAlign w:val="center"/>
          </w:tcPr>
          <w:p>
            <w:pPr>
              <w:spacing w:after="0"/>
            </w:pPr>
            <w:r/>
            <w:r>
              <w:rPr>
                <w:b w:val="0"/>
                <w:sz w:val="14"/>
              </w:rPr>
              <w:t>Available service minutes ÷ scheduled service minutes × 100</w:t>
            </w:r>
          </w:p>
        </w:tc>
        <w:tc>
          <w:tcPr>
            <w:tcW w:type="dxa" w:w="1656"/>
            <w:vAlign w:val="center"/>
          </w:tcPr>
          <w:p>
            <w:pPr>
              <w:spacing w:after="0"/>
            </w:pPr>
            <w:r/>
            <w:r>
              <w:rPr>
                <w:b w:val="0"/>
                <w:sz w:val="14"/>
              </w:rPr>
              <w:t>Monitoring logs</w:t>
            </w:r>
          </w:p>
        </w:tc>
        <w:tc>
          <w:tcPr>
            <w:tcW w:type="dxa" w:w="1656"/>
            <w:vAlign w:val="center"/>
          </w:tcPr>
          <w:p>
            <w:pPr>
              <w:spacing w:after="0"/>
            </w:pPr>
            <w:r/>
            <w:r>
              <w:rPr>
                <w:b w:val="0"/>
                <w:sz w:val="14"/>
              </w:rPr>
              <w:t>Daily/monthly</w:t>
            </w:r>
          </w:p>
        </w:tc>
        <w:tc>
          <w:tcPr>
            <w:tcW w:type="dxa" w:w="1656"/>
            <w:vAlign w:val="center"/>
          </w:tcPr>
          <w:p>
            <w:pPr>
              <w:spacing w:after="0"/>
            </w:pPr>
            <w:r/>
            <w:r>
              <w:rPr>
                <w:b w:val="0"/>
                <w:sz w:val="14"/>
              </w:rPr>
              <w:t>Set target based on service criticality.</w:t>
            </w:r>
          </w:p>
        </w:tc>
      </w:tr>
      <w:tr>
        <w:tc>
          <w:tcPr>
            <w:tcW w:type="dxa" w:w="1656"/>
            <w:vAlign w:val="center"/>
          </w:tcPr>
          <w:p>
            <w:pPr>
              <w:spacing w:after="0"/>
            </w:pPr>
            <w:r/>
            <w:r>
              <w:rPr>
                <w:b w:val="0"/>
                <w:sz w:val="14"/>
              </w:rPr>
              <w:t>Reliability</w:t>
            </w:r>
          </w:p>
        </w:tc>
        <w:tc>
          <w:tcPr>
            <w:tcW w:type="dxa" w:w="1656"/>
            <w:vAlign w:val="center"/>
          </w:tcPr>
          <w:p>
            <w:pPr>
              <w:spacing w:after="0"/>
            </w:pPr>
            <w:r/>
            <w:r>
              <w:rPr>
                <w:b w:val="0"/>
                <w:sz w:val="14"/>
              </w:rPr>
              <w:t>Error/failed transaction rate</w:t>
            </w:r>
          </w:p>
        </w:tc>
        <w:tc>
          <w:tcPr>
            <w:tcW w:type="dxa" w:w="1656"/>
            <w:vAlign w:val="center"/>
          </w:tcPr>
          <w:p>
            <w:pPr>
              <w:spacing w:after="0"/>
            </w:pPr>
            <w:r/>
            <w:r>
              <w:rPr>
                <w:b w:val="0"/>
                <w:sz w:val="14"/>
              </w:rPr>
              <w:t>Failed or errored transactions ÷ total attempts × 100</w:t>
            </w:r>
          </w:p>
        </w:tc>
        <w:tc>
          <w:tcPr>
            <w:tcW w:type="dxa" w:w="1656"/>
            <w:vAlign w:val="center"/>
          </w:tcPr>
          <w:p>
            <w:pPr>
              <w:spacing w:after="0"/>
            </w:pPr>
            <w:r/>
            <w:r>
              <w:rPr>
                <w:b w:val="0"/>
                <w:sz w:val="14"/>
              </w:rPr>
              <w:t>Application and server logs</w:t>
            </w:r>
          </w:p>
        </w:tc>
        <w:tc>
          <w:tcPr>
            <w:tcW w:type="dxa" w:w="1656"/>
            <w:vAlign w:val="center"/>
          </w:tcPr>
          <w:p>
            <w:pPr>
              <w:spacing w:after="0"/>
            </w:pPr>
            <w:r/>
            <w:r>
              <w:rPr>
                <w:b w:val="0"/>
                <w:sz w:val="14"/>
              </w:rPr>
              <w:t>Daily/weekly</w:t>
            </w:r>
          </w:p>
        </w:tc>
        <w:tc>
          <w:tcPr>
            <w:tcW w:type="dxa" w:w="1656"/>
            <w:vAlign w:val="center"/>
          </w:tcPr>
          <w:p>
            <w:pPr>
              <w:spacing w:after="0"/>
            </w:pPr>
            <w:r/>
            <w:r>
              <w:rPr>
                <w:b w:val="0"/>
                <w:sz w:val="14"/>
              </w:rPr>
              <w:t>Lower is better; group by error type.</w:t>
            </w:r>
          </w:p>
        </w:tc>
      </w:tr>
      <w:tr>
        <w:tc>
          <w:tcPr>
            <w:tcW w:type="dxa" w:w="1656"/>
            <w:vAlign w:val="center"/>
          </w:tcPr>
          <w:p>
            <w:pPr>
              <w:spacing w:after="0"/>
            </w:pPr>
            <w:r/>
            <w:r>
              <w:rPr>
                <w:b w:val="0"/>
                <w:sz w:val="14"/>
              </w:rPr>
              <w:t>Effectiveness</w:t>
            </w:r>
          </w:p>
        </w:tc>
        <w:tc>
          <w:tcPr>
            <w:tcW w:type="dxa" w:w="1656"/>
            <w:vAlign w:val="center"/>
          </w:tcPr>
          <w:p>
            <w:pPr>
              <w:spacing w:after="0"/>
            </w:pPr>
            <w:r/>
            <w:r>
              <w:rPr>
                <w:b w:val="0"/>
                <w:sz w:val="14"/>
              </w:rPr>
              <w:t>User satisfaction score</w:t>
            </w:r>
          </w:p>
        </w:tc>
        <w:tc>
          <w:tcPr>
            <w:tcW w:type="dxa" w:w="1656"/>
            <w:vAlign w:val="center"/>
          </w:tcPr>
          <w:p>
            <w:pPr>
              <w:spacing w:after="0"/>
            </w:pPr>
            <w:r/>
            <w:r>
              <w:rPr>
                <w:b w:val="0"/>
                <w:sz w:val="14"/>
              </w:rPr>
              <w:t>Average standardized post-service survey score</w:t>
            </w:r>
          </w:p>
        </w:tc>
        <w:tc>
          <w:tcPr>
            <w:tcW w:type="dxa" w:w="1656"/>
            <w:vAlign w:val="center"/>
          </w:tcPr>
          <w:p>
            <w:pPr>
              <w:spacing w:after="0"/>
            </w:pPr>
            <w:r/>
            <w:r>
              <w:rPr>
                <w:b w:val="0"/>
                <w:sz w:val="14"/>
              </w:rPr>
              <w:t>Short surveys and feedback</w:t>
            </w:r>
          </w:p>
        </w:tc>
        <w:tc>
          <w:tcPr>
            <w:tcW w:type="dxa" w:w="1656"/>
            <w:vAlign w:val="center"/>
          </w:tcPr>
          <w:p>
            <w:pPr>
              <w:spacing w:after="0"/>
            </w:pPr>
            <w:r/>
            <w:r>
              <w:rPr>
                <w:b w:val="0"/>
                <w:sz w:val="14"/>
              </w:rPr>
              <w:t>Monthly/quarterly</w:t>
            </w:r>
          </w:p>
        </w:tc>
        <w:tc>
          <w:tcPr>
            <w:tcW w:type="dxa" w:w="1656"/>
            <w:vAlign w:val="center"/>
          </w:tcPr>
          <w:p>
            <w:pPr>
              <w:spacing w:after="0"/>
            </w:pPr>
            <w:r/>
            <w:r>
              <w:rPr>
                <w:b w:val="0"/>
                <w:sz w:val="14"/>
              </w:rPr>
              <w:t>Track trend and response bias; publish method.</w:t>
            </w:r>
          </w:p>
        </w:tc>
      </w:tr>
      <w:tr>
        <w:tc>
          <w:tcPr>
            <w:tcW w:type="dxa" w:w="1656"/>
            <w:vAlign w:val="center"/>
          </w:tcPr>
          <w:p>
            <w:pPr>
              <w:spacing w:after="0"/>
            </w:pPr>
            <w:r/>
            <w:r>
              <w:rPr>
                <w:b w:val="0"/>
                <w:sz w:val="14"/>
              </w:rPr>
              <w:t>Effectiveness</w:t>
            </w:r>
          </w:p>
        </w:tc>
        <w:tc>
          <w:tcPr>
            <w:tcW w:type="dxa" w:w="1656"/>
            <w:vAlign w:val="center"/>
          </w:tcPr>
          <w:p>
            <w:pPr>
              <w:spacing w:after="0"/>
            </w:pPr>
            <w:r/>
            <w:r>
              <w:rPr>
                <w:b w:val="0"/>
                <w:sz w:val="14"/>
              </w:rPr>
              <w:t>Successful resolution rate</w:t>
            </w:r>
          </w:p>
        </w:tc>
        <w:tc>
          <w:tcPr>
            <w:tcW w:type="dxa" w:w="1656"/>
            <w:vAlign w:val="center"/>
          </w:tcPr>
          <w:p>
            <w:pPr>
              <w:spacing w:after="0"/>
            </w:pPr>
            <w:r/>
            <w:r>
              <w:rPr>
                <w:b w:val="0"/>
                <w:sz w:val="14"/>
              </w:rPr>
              <w:t>Cases meeting the intended service outcome ÷ eligible cases × 100</w:t>
            </w:r>
          </w:p>
        </w:tc>
        <w:tc>
          <w:tcPr>
            <w:tcW w:type="dxa" w:w="1656"/>
            <w:vAlign w:val="center"/>
          </w:tcPr>
          <w:p>
            <w:pPr>
              <w:spacing w:after="0"/>
            </w:pPr>
            <w:r/>
            <w:r>
              <w:rPr>
                <w:b w:val="0"/>
                <w:sz w:val="14"/>
              </w:rPr>
              <w:t>Case outcomes and audit sample</w:t>
            </w:r>
          </w:p>
        </w:tc>
        <w:tc>
          <w:tcPr>
            <w:tcW w:type="dxa" w:w="1656"/>
            <w:vAlign w:val="center"/>
          </w:tcPr>
          <w:p>
            <w:pPr>
              <w:spacing w:after="0"/>
            </w:pPr>
            <w:r/>
            <w:r>
              <w:rPr>
                <w:b w:val="0"/>
                <w:sz w:val="14"/>
              </w:rPr>
              <w:t>Monthly/quarterly</w:t>
            </w:r>
          </w:p>
        </w:tc>
        <w:tc>
          <w:tcPr>
            <w:tcW w:type="dxa" w:w="1656"/>
            <w:vAlign w:val="center"/>
          </w:tcPr>
          <w:p>
            <w:pPr>
              <w:spacing w:after="0"/>
            </w:pPr>
            <w:r/>
            <w:r>
              <w:rPr>
                <w:b w:val="0"/>
                <w:sz w:val="14"/>
              </w:rPr>
              <w:t>Define outcome and eligibility before calculation.</w:t>
            </w:r>
          </w:p>
        </w:tc>
      </w:tr>
      <w:tr>
        <w:tc>
          <w:tcPr>
            <w:tcW w:type="dxa" w:w="1656"/>
            <w:vAlign w:val="center"/>
          </w:tcPr>
          <w:p>
            <w:pPr>
              <w:spacing w:after="0"/>
            </w:pPr>
            <w:r/>
            <w:r>
              <w:rPr>
                <w:b w:val="0"/>
                <w:sz w:val="14"/>
              </w:rPr>
              <w:t>Equity</w:t>
            </w:r>
          </w:p>
        </w:tc>
        <w:tc>
          <w:tcPr>
            <w:tcW w:type="dxa" w:w="1656"/>
            <w:vAlign w:val="center"/>
          </w:tcPr>
          <w:p>
            <w:pPr>
              <w:spacing w:after="0"/>
            </w:pPr>
            <w:r/>
            <w:r>
              <w:rPr>
                <w:b w:val="0"/>
                <w:sz w:val="14"/>
              </w:rPr>
              <w:t>Outcome gap between user groups</w:t>
            </w:r>
          </w:p>
        </w:tc>
        <w:tc>
          <w:tcPr>
            <w:tcW w:type="dxa" w:w="1656"/>
            <w:vAlign w:val="center"/>
          </w:tcPr>
          <w:p>
            <w:pPr>
              <w:spacing w:after="0"/>
            </w:pPr>
            <w:r/>
            <w:r>
              <w:rPr>
                <w:b w:val="0"/>
                <w:sz w:val="14"/>
              </w:rPr>
              <w:t>Difference in completion or timely-service rates across appropriate groups</w:t>
            </w:r>
          </w:p>
        </w:tc>
        <w:tc>
          <w:tcPr>
            <w:tcW w:type="dxa" w:w="1656"/>
            <w:vAlign w:val="center"/>
          </w:tcPr>
          <w:p>
            <w:pPr>
              <w:spacing w:after="0"/>
            </w:pPr>
            <w:r/>
            <w:r>
              <w:rPr>
                <w:b w:val="0"/>
                <w:sz w:val="14"/>
              </w:rPr>
              <w:t>Aggregated service records and voluntary feedback</w:t>
            </w:r>
          </w:p>
        </w:tc>
        <w:tc>
          <w:tcPr>
            <w:tcW w:type="dxa" w:w="1656"/>
            <w:vAlign w:val="center"/>
          </w:tcPr>
          <w:p>
            <w:pPr>
              <w:spacing w:after="0"/>
            </w:pPr>
            <w:r/>
            <w:r>
              <w:rPr>
                <w:b w:val="0"/>
                <w:sz w:val="14"/>
              </w:rPr>
              <w:t>Quarterly</w:t>
            </w:r>
          </w:p>
        </w:tc>
        <w:tc>
          <w:tcPr>
            <w:tcW w:type="dxa" w:w="1656"/>
            <w:vAlign w:val="center"/>
          </w:tcPr>
          <w:p>
            <w:pPr>
              <w:spacing w:after="0"/>
            </w:pPr>
            <w:r/>
            <w:r>
              <w:rPr>
                <w:b w:val="0"/>
                <w:sz w:val="14"/>
              </w:rPr>
              <w:t>Investigate gaps; avoid unsupported causal conclusions.</w:t>
            </w:r>
          </w:p>
        </w:tc>
      </w:tr>
      <w:tr>
        <w:tc>
          <w:tcPr>
            <w:tcW w:type="dxa" w:w="1656"/>
            <w:vAlign w:val="center"/>
          </w:tcPr>
          <w:p>
            <w:pPr>
              <w:spacing w:after="0"/>
            </w:pPr>
            <w:r/>
            <w:r>
              <w:rPr>
                <w:b w:val="0"/>
                <w:sz w:val="14"/>
              </w:rPr>
              <w:t>Trust and privacy</w:t>
            </w:r>
          </w:p>
        </w:tc>
        <w:tc>
          <w:tcPr>
            <w:tcW w:type="dxa" w:w="1656"/>
            <w:vAlign w:val="center"/>
          </w:tcPr>
          <w:p>
            <w:pPr>
              <w:spacing w:after="0"/>
            </w:pPr>
            <w:r/>
            <w:r>
              <w:rPr>
                <w:b w:val="0"/>
                <w:sz w:val="14"/>
              </w:rPr>
              <w:t>Privacy/security incidents</w:t>
            </w:r>
          </w:p>
        </w:tc>
        <w:tc>
          <w:tcPr>
            <w:tcW w:type="dxa" w:w="1656"/>
            <w:vAlign w:val="center"/>
          </w:tcPr>
          <w:p>
            <w:pPr>
              <w:spacing w:after="0"/>
            </w:pPr>
            <w:r/>
            <w:r>
              <w:rPr>
                <w:b w:val="0"/>
                <w:sz w:val="14"/>
              </w:rPr>
              <w:t>Count and severity of verified incidents</w:t>
            </w:r>
          </w:p>
        </w:tc>
        <w:tc>
          <w:tcPr>
            <w:tcW w:type="dxa" w:w="1656"/>
            <w:vAlign w:val="center"/>
          </w:tcPr>
          <w:p>
            <w:pPr>
              <w:spacing w:after="0"/>
            </w:pPr>
            <w:r/>
            <w:r>
              <w:rPr>
                <w:b w:val="0"/>
                <w:sz w:val="14"/>
              </w:rPr>
              <w:t>Incident register and audit reports</w:t>
            </w:r>
          </w:p>
        </w:tc>
        <w:tc>
          <w:tcPr>
            <w:tcW w:type="dxa" w:w="1656"/>
            <w:vAlign w:val="center"/>
          </w:tcPr>
          <w:p>
            <w:pPr>
              <w:spacing w:after="0"/>
            </w:pPr>
            <w:r/>
            <w:r>
              <w:rPr>
                <w:b w:val="0"/>
                <w:sz w:val="14"/>
              </w:rPr>
              <w:t>Immediate/quarterly</w:t>
            </w:r>
          </w:p>
        </w:tc>
        <w:tc>
          <w:tcPr>
            <w:tcW w:type="dxa" w:w="1656"/>
            <w:vAlign w:val="center"/>
          </w:tcPr>
          <w:p>
            <w:pPr>
              <w:spacing w:after="0"/>
            </w:pPr>
            <w:r/>
            <w:r>
              <w:rPr>
                <w:b w:val="0"/>
                <w:sz w:val="14"/>
              </w:rPr>
              <w:t>Any serious incident requires escalation and response.</w:t>
            </w:r>
          </w:p>
        </w:tc>
      </w:tr>
    </w:tbl>
    <w:p/>
    <w:p>
      <w:pPr>
        <w:pStyle w:val="Heading2"/>
      </w:pPr>
      <w:r>
        <w:t>3.1 Qualitative evidence</w:t>
      </w:r>
    </w:p>
    <w:p>
      <w:pPr>
        <w:pStyle w:val="ListBullet"/>
      </w:pPr>
      <w:r>
        <w:t>Citizen feedback: recurring themes in open-text survey responses, complaints, and helpdesk notes.</w:t>
      </w:r>
    </w:p>
    <w:p>
      <w:pPr>
        <w:pStyle w:val="ListBullet"/>
      </w:pPr>
      <w:r>
        <w:t>Usability observation: whether representative users can find eligibility rules, submit a form, correct an error, and track a request without help.</w:t>
      </w:r>
    </w:p>
    <w:p>
      <w:pPr>
        <w:pStyle w:val="ListBullet"/>
      </w:pPr>
      <w:r>
        <w:t>Staff feedback: frontline staff observations about duplicate work, confusing workflows, and avoidable manual checks.</w:t>
      </w:r>
    </w:p>
    <w:p>
      <w:pPr>
        <w:pStyle w:val="ListBullet"/>
      </w:pPr>
      <w:r>
        <w:t>Transparency review: whether fees, deadlines, required documents, appeal routes, and status messages are easy to locate and understand.</w:t>
      </w:r>
    </w:p>
    <w:p>
      <w:pPr>
        <w:pStyle w:val="ListBullet"/>
      </w:pPr>
      <w:r>
        <w:t>Accessibility review: keyboard navigation, screen-reader labels, contrast, form instructions, mobile layout, and language clarity.</w:t>
      </w:r>
    </w:p>
    <w:p>
      <w:pPr>
        <w:pStyle w:val="Heading1"/>
      </w:pPr>
      <w:r>
        <w:t>4. Evaluation Framework: Collection, Analysis, and Interpretation</w:t>
      </w:r>
    </w:p>
    <w:p>
      <w:pPr>
        <w:pStyle w:val="Heading2"/>
      </w:pPr>
      <w:r>
        <w:t>4.1 Step-by-step evaluation cycle</w:t>
      </w:r>
    </w:p>
    <w:p>
      <w:pPr>
        <w:pStyle w:val="ListNumber"/>
      </w:pPr>
      <w:r>
        <w:rPr>
          <w:b/>
        </w:rPr>
        <w:t xml:space="preserve">Define the service and outcome: </w:t>
      </w:r>
      <w:r>
        <w:t>Specify the service, eligible population, start/end events, expected citizen outcome, and service-level commitments.</w:t>
      </w:r>
    </w:p>
    <w:p>
      <w:pPr>
        <w:pStyle w:val="ListNumber"/>
      </w:pPr>
      <w:r>
        <w:rPr>
          <w:b/>
        </w:rPr>
        <w:t xml:space="preserve">Create a metric dictionary: </w:t>
      </w:r>
      <w:r>
        <w:t>Record each metric’s definition, numerator, denominator, unit, source, owner, frequency, exclusions, and limitations.</w:t>
      </w:r>
    </w:p>
    <w:p>
      <w:pPr>
        <w:pStyle w:val="ListNumber"/>
      </w:pPr>
      <w:r>
        <w:rPr>
          <w:b/>
        </w:rPr>
        <w:t xml:space="preserve">Collect evidence responsibly: </w:t>
      </w:r>
      <w:r>
        <w:t>Combine transaction logs, case records, complaint data, uptime logs, short surveys, accessibility tests, and staff interviews where available.</w:t>
      </w:r>
    </w:p>
    <w:p>
      <w:pPr>
        <w:pStyle w:val="ListNumber"/>
      </w:pPr>
      <w:r>
        <w:rPr>
          <w:b/>
        </w:rPr>
        <w:t xml:space="preserve">Validate and clean data: </w:t>
      </w:r>
      <w:r>
        <w:t>Check missing values, duplicates, invalid timestamps, inconsistent categories, outliers, and changes in data definitions.</w:t>
      </w:r>
    </w:p>
    <w:p>
      <w:pPr>
        <w:pStyle w:val="ListNumber"/>
      </w:pPr>
      <w:r>
        <w:rPr>
          <w:b/>
        </w:rPr>
        <w:t xml:space="preserve">Establish a baseline: </w:t>
      </w:r>
      <w:r>
        <w:t>Calculate a representative baseline over a stated period and note seasonal effects, service changes, and data coverage.</w:t>
      </w:r>
    </w:p>
    <w:p>
      <w:pPr>
        <w:pStyle w:val="ListNumber"/>
      </w:pPr>
      <w:r>
        <w:rPr>
          <w:b/>
        </w:rPr>
        <w:t xml:space="preserve">Analyze and segment: </w:t>
      </w:r>
      <w:r>
        <w:t>Use descriptive statistics and suitable analytical techniques; compare channels, regions, service types, and appropriate user groups.</w:t>
      </w:r>
    </w:p>
    <w:p>
      <w:pPr>
        <w:pStyle w:val="ListNumber"/>
      </w:pPr>
      <w:r>
        <w:rPr>
          <w:b/>
        </w:rPr>
        <w:t xml:space="preserve">Interpret with context: </w:t>
      </w:r>
      <w:r>
        <w:t>Compare results with service standards and baseline values; distinguish correlation from causation and record uncertainty.</w:t>
      </w:r>
    </w:p>
    <w:p>
      <w:pPr>
        <w:pStyle w:val="ListNumber"/>
      </w:pPr>
      <w:r>
        <w:rPr>
          <w:b/>
        </w:rPr>
        <w:t xml:space="preserve">Recommend and prioritize: </w:t>
      </w:r>
      <w:r>
        <w:t>Rank actions by citizen impact, urgency, cost, feasibility, dependency, and risk.</w:t>
      </w:r>
    </w:p>
    <w:p>
      <w:pPr>
        <w:pStyle w:val="ListNumber"/>
      </w:pPr>
      <w:r>
        <w:rPr>
          <w:b/>
        </w:rPr>
        <w:t xml:space="preserve">Implement and monitor: </w:t>
      </w:r>
      <w:r>
        <w:t>Assign an owner, deadline, and success measure; review progress regularly and revise actions when evidence changes.</w:t>
      </w:r>
    </w:p>
    <w:p>
      <w:pPr>
        <w:pStyle w:val="Heading2"/>
      </w:pPr>
      <w:r>
        <w:t>4.2 Evaluation scorecard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sz w:val="17"/>
              </w:rPr>
              <w:t>Status</w:t>
            </w:r>
          </w:p>
        </w:tc>
        <w:tc>
          <w:tcPr>
            <w:tcW w:type="dxa" w:w="3312"/>
            <w:vAlign w:val="center"/>
            <w:shd w:fill="D9EAF7"/>
          </w:tcPr>
          <w:p>
            <w:pPr>
              <w:spacing w:after="0"/>
            </w:pPr>
            <w:r/>
            <w:r>
              <w:rPr>
                <w:b/>
                <w:sz w:val="17"/>
              </w:rPr>
              <w:t>Suggested criterion</w:t>
            </w:r>
          </w:p>
        </w:tc>
        <w:tc>
          <w:tcPr>
            <w:tcW w:type="dxa" w:w="3312"/>
            <w:vAlign w:val="center"/>
            <w:shd w:fill="D9EAF7"/>
          </w:tcPr>
          <w:p>
            <w:pPr>
              <w:spacing w:after="0"/>
            </w:pPr>
            <w:r/>
            <w:r>
              <w:rPr>
                <w:b/>
                <w:sz w:val="17"/>
              </w:rPr>
              <w:t>Required response</w:t>
            </w:r>
          </w:p>
        </w:tc>
      </w:tr>
      <w:tr>
        <w:tc>
          <w:tcPr>
            <w:tcW w:type="dxa" w:w="3312"/>
            <w:vAlign w:val="center"/>
          </w:tcPr>
          <w:p>
            <w:pPr>
              <w:spacing w:after="0"/>
            </w:pPr>
            <w:r/>
            <w:r>
              <w:rPr>
                <w:b w:val="0"/>
                <w:sz w:val="17"/>
              </w:rPr>
              <w:t>Green</w:t>
            </w:r>
          </w:p>
        </w:tc>
        <w:tc>
          <w:tcPr>
            <w:tcW w:type="dxa" w:w="3312"/>
            <w:vAlign w:val="center"/>
          </w:tcPr>
          <w:p>
            <w:pPr>
              <w:spacing w:after="0"/>
            </w:pPr>
            <w:r/>
            <w:r>
              <w:rPr>
                <w:b w:val="0"/>
                <w:sz w:val="17"/>
              </w:rPr>
              <w:t>Target met or sustained improvement; no major adverse side effect</w:t>
            </w:r>
          </w:p>
        </w:tc>
        <w:tc>
          <w:tcPr>
            <w:tcW w:type="dxa" w:w="3312"/>
            <w:vAlign w:val="center"/>
          </w:tcPr>
          <w:p>
            <w:pPr>
              <w:spacing w:after="0"/>
            </w:pPr>
            <w:r/>
            <w:r>
              <w:rPr>
                <w:b w:val="0"/>
                <w:sz w:val="17"/>
              </w:rPr>
              <w:t>Maintain approach; document and scale if appropriate.</w:t>
            </w:r>
          </w:p>
        </w:tc>
      </w:tr>
      <w:tr>
        <w:tc>
          <w:tcPr>
            <w:tcW w:type="dxa" w:w="3312"/>
            <w:vAlign w:val="center"/>
          </w:tcPr>
          <w:p>
            <w:pPr>
              <w:spacing w:after="0"/>
            </w:pPr>
            <w:r/>
            <w:r>
              <w:rPr>
                <w:b w:val="0"/>
                <w:sz w:val="17"/>
              </w:rPr>
              <w:t>Amber</w:t>
            </w:r>
          </w:p>
        </w:tc>
        <w:tc>
          <w:tcPr>
            <w:tcW w:type="dxa" w:w="3312"/>
            <w:vAlign w:val="center"/>
          </w:tcPr>
          <w:p>
            <w:pPr>
              <w:spacing w:after="0"/>
            </w:pPr>
            <w:r/>
            <w:r>
              <w:rPr>
                <w:b w:val="0"/>
                <w:sz w:val="17"/>
              </w:rPr>
              <w:t>Target partly met, data quality uncertain, or gap is widening</w:t>
            </w:r>
          </w:p>
        </w:tc>
        <w:tc>
          <w:tcPr>
            <w:tcW w:type="dxa" w:w="3312"/>
            <w:vAlign w:val="center"/>
          </w:tcPr>
          <w:p>
            <w:pPr>
              <w:spacing w:after="0"/>
            </w:pPr>
            <w:r/>
            <w:r>
              <w:rPr>
                <w:b w:val="0"/>
                <w:sz w:val="17"/>
              </w:rPr>
              <w:t>Investigate root cause; assign a corrective action and review date.</w:t>
            </w:r>
          </w:p>
        </w:tc>
      </w:tr>
      <w:tr>
        <w:tc>
          <w:tcPr>
            <w:tcW w:type="dxa" w:w="3312"/>
            <w:vAlign w:val="center"/>
          </w:tcPr>
          <w:p>
            <w:pPr>
              <w:spacing w:after="0"/>
            </w:pPr>
            <w:r/>
            <w:r>
              <w:rPr>
                <w:b w:val="0"/>
                <w:sz w:val="17"/>
              </w:rPr>
              <w:t>Red</w:t>
            </w:r>
          </w:p>
        </w:tc>
        <w:tc>
          <w:tcPr>
            <w:tcW w:type="dxa" w:w="3312"/>
            <w:vAlign w:val="center"/>
          </w:tcPr>
          <w:p>
            <w:pPr>
              <w:spacing w:after="0"/>
            </w:pPr>
            <w:r/>
            <w:r>
              <w:rPr>
                <w:b w:val="0"/>
                <w:sz w:val="17"/>
              </w:rPr>
              <w:t>Critical service failure, serious accessibility barrier, privacy/security incident, or persistent poor performance</w:t>
            </w:r>
          </w:p>
        </w:tc>
        <w:tc>
          <w:tcPr>
            <w:tcW w:type="dxa" w:w="3312"/>
            <w:vAlign w:val="center"/>
          </w:tcPr>
          <w:p>
            <w:pPr>
              <w:spacing w:after="0"/>
            </w:pPr>
            <w:r/>
            <w:r>
              <w:rPr>
                <w:b w:val="0"/>
                <w:sz w:val="17"/>
              </w:rPr>
              <w:t>Escalate to service owner; initiate contingency plan and frequent monitoring.</w:t>
            </w:r>
          </w:p>
        </w:tc>
      </w:tr>
    </w:tbl>
    <w:p/>
    <w:p>
      <w:r>
        <w:t>A scorecard should not hide important differences behind a single average. Report both overall performance and meaningful segments. Always show the reporting period, sample size where relevant, data completeness, and any material caveat.</w:t>
      </w:r>
    </w:p>
    <w:p>
      <w:pPr>
        <w:pStyle w:val="Heading1"/>
      </w:pPr>
      <w:r>
        <w:t>5. Integration with Data Analysis Techniques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sz w:val="16"/>
              </w:rPr>
              <w:t>Technique</w:t>
            </w:r>
          </w:p>
        </w:tc>
        <w:tc>
          <w:tcPr>
            <w:tcW w:type="dxa" w:w="3312"/>
            <w:vAlign w:val="center"/>
            <w:shd w:fill="D9EAF7"/>
          </w:tcPr>
          <w:p>
            <w:pPr>
              <w:spacing w:after="0"/>
            </w:pPr>
            <w:r/>
            <w:r>
              <w:rPr>
                <w:b/>
                <w:sz w:val="16"/>
              </w:rPr>
              <w:t>Application</w:t>
            </w:r>
          </w:p>
        </w:tc>
        <w:tc>
          <w:tcPr>
            <w:tcW w:type="dxa" w:w="3312"/>
            <w:vAlign w:val="center"/>
            <w:shd w:fill="D9EAF7"/>
          </w:tcPr>
          <w:p>
            <w:pPr>
              <w:spacing w:after="0"/>
            </w:pPr>
            <w:r/>
            <w:r>
              <w:rPr>
                <w:b/>
                <w:sz w:val="16"/>
              </w:rPr>
              <w:t>How it supports evaluation</w:t>
            </w:r>
          </w:p>
        </w:tc>
      </w:tr>
      <w:tr>
        <w:tc>
          <w:tcPr>
            <w:tcW w:type="dxa" w:w="3312"/>
            <w:vAlign w:val="center"/>
          </w:tcPr>
          <w:p>
            <w:pPr>
              <w:spacing w:after="0"/>
            </w:pPr>
            <w:r/>
            <w:r>
              <w:rPr>
                <w:b w:val="0"/>
                <w:sz w:val="16"/>
              </w:rPr>
              <w:t>Data acquisition and source review</w:t>
            </w:r>
          </w:p>
        </w:tc>
        <w:tc>
          <w:tcPr>
            <w:tcW w:type="dxa" w:w="3312"/>
            <w:vAlign w:val="center"/>
          </w:tcPr>
          <w:p>
            <w:pPr>
              <w:spacing w:after="0"/>
            </w:pPr>
            <w:r/>
            <w:r>
              <w:rPr>
                <w:b w:val="0"/>
                <w:sz w:val="16"/>
              </w:rPr>
              <w:t>Identify whether the dataset contains dates, service type, channel, status, location, processing time, errors, or feedback.</w:t>
            </w:r>
          </w:p>
        </w:tc>
        <w:tc>
          <w:tcPr>
            <w:tcW w:type="dxa" w:w="3312"/>
            <w:vAlign w:val="center"/>
          </w:tcPr>
          <w:p>
            <w:pPr>
              <w:spacing w:after="0"/>
            </w:pPr>
            <w:r/>
            <w:r>
              <w:rPr>
                <w:b w:val="0"/>
                <w:sz w:val="16"/>
              </w:rPr>
              <w:t>Confirms which metrics can be calculated and exposes gaps in monitoring.</w:t>
            </w:r>
          </w:p>
        </w:tc>
      </w:tr>
      <w:tr>
        <w:tc>
          <w:tcPr>
            <w:tcW w:type="dxa" w:w="3312"/>
            <w:vAlign w:val="center"/>
          </w:tcPr>
          <w:p>
            <w:pPr>
              <w:spacing w:after="0"/>
            </w:pPr>
            <w:r/>
            <w:r>
              <w:rPr>
                <w:b w:val="0"/>
                <w:sz w:val="16"/>
              </w:rPr>
              <w:t>Data preprocessing</w:t>
            </w:r>
          </w:p>
        </w:tc>
        <w:tc>
          <w:tcPr>
            <w:tcW w:type="dxa" w:w="3312"/>
            <w:vAlign w:val="center"/>
          </w:tcPr>
          <w:p>
            <w:pPr>
              <w:spacing w:after="0"/>
            </w:pPr>
            <w:r/>
            <w:r>
              <w:rPr>
                <w:b w:val="0"/>
                <w:sz w:val="16"/>
              </w:rPr>
              <w:t>Remove or flag duplicates; standardize dates/categories; check missingness and invalid records; document exclusions.</w:t>
            </w:r>
          </w:p>
        </w:tc>
        <w:tc>
          <w:tcPr>
            <w:tcW w:type="dxa" w:w="3312"/>
            <w:vAlign w:val="center"/>
          </w:tcPr>
          <w:p>
            <w:pPr>
              <w:spacing w:after="0"/>
            </w:pPr>
            <w:r/>
            <w:r>
              <w:rPr>
                <w:b w:val="0"/>
                <w:sz w:val="16"/>
              </w:rPr>
              <w:t>Improves reliability of rates, time calculations, and comparisons.</w:t>
            </w:r>
          </w:p>
        </w:tc>
      </w:tr>
      <w:tr>
        <w:tc>
          <w:tcPr>
            <w:tcW w:type="dxa" w:w="3312"/>
            <w:vAlign w:val="center"/>
          </w:tcPr>
          <w:p>
            <w:pPr>
              <w:spacing w:after="0"/>
            </w:pPr>
            <w:r/>
            <w:r>
              <w:rPr>
                <w:b w:val="0"/>
                <w:sz w:val="16"/>
              </w:rPr>
              <w:t>Descriptive statistics</w:t>
            </w:r>
          </w:p>
        </w:tc>
        <w:tc>
          <w:tcPr>
            <w:tcW w:type="dxa" w:w="3312"/>
            <w:vAlign w:val="center"/>
          </w:tcPr>
          <w:p>
            <w:pPr>
              <w:spacing w:after="0"/>
            </w:pPr>
            <w:r/>
            <w:r>
              <w:rPr>
                <w:b w:val="0"/>
                <w:sz w:val="16"/>
              </w:rPr>
              <w:t>Calculate counts, percentages, median/percentile processing times, distributions, and trends.</w:t>
            </w:r>
          </w:p>
        </w:tc>
        <w:tc>
          <w:tcPr>
            <w:tcW w:type="dxa" w:w="3312"/>
            <w:vAlign w:val="center"/>
          </w:tcPr>
          <w:p>
            <w:pPr>
              <w:spacing w:after="0"/>
            </w:pPr>
            <w:r/>
            <w:r>
              <w:rPr>
                <w:b w:val="0"/>
                <w:sz w:val="16"/>
              </w:rPr>
              <w:t>Establishes baseline performance and identifies bottlenecks.</w:t>
            </w:r>
          </w:p>
        </w:tc>
      </w:tr>
      <w:tr>
        <w:tc>
          <w:tcPr>
            <w:tcW w:type="dxa" w:w="3312"/>
            <w:vAlign w:val="center"/>
          </w:tcPr>
          <w:p>
            <w:pPr>
              <w:spacing w:after="0"/>
            </w:pPr>
            <w:r/>
            <w:r>
              <w:rPr>
                <w:b w:val="0"/>
                <w:sz w:val="16"/>
              </w:rPr>
              <w:t>Regression analysis</w:t>
            </w:r>
          </w:p>
        </w:tc>
        <w:tc>
          <w:tcPr>
            <w:tcW w:type="dxa" w:w="3312"/>
            <w:vAlign w:val="center"/>
          </w:tcPr>
          <w:p>
            <w:pPr>
              <w:spacing w:after="0"/>
            </w:pPr>
            <w:r/>
            <w:r>
              <w:rPr>
                <w:b w:val="0"/>
                <w:sz w:val="16"/>
              </w:rPr>
              <w:t>Where data and assumptions support it, estimate associations between factors (such as channel, service type, or workload) and processing time or completion.</w:t>
            </w:r>
          </w:p>
        </w:tc>
        <w:tc>
          <w:tcPr>
            <w:tcW w:type="dxa" w:w="3312"/>
            <w:vAlign w:val="center"/>
          </w:tcPr>
          <w:p>
            <w:pPr>
              <w:spacing w:after="0"/>
            </w:pPr>
            <w:r/>
            <w:r>
              <w:rPr>
                <w:b w:val="0"/>
                <w:sz w:val="16"/>
              </w:rPr>
              <w:t>Helps prioritize factors for further investigation; does not alone prove causation.</w:t>
            </w:r>
          </w:p>
        </w:tc>
      </w:tr>
      <w:tr>
        <w:tc>
          <w:tcPr>
            <w:tcW w:type="dxa" w:w="3312"/>
            <w:vAlign w:val="center"/>
          </w:tcPr>
          <w:p>
            <w:pPr>
              <w:spacing w:after="0"/>
            </w:pPr>
            <w:r/>
            <w:r>
              <w:rPr>
                <w:b w:val="0"/>
                <w:sz w:val="16"/>
              </w:rPr>
              <w:t>Classification</w:t>
            </w:r>
          </w:p>
        </w:tc>
        <w:tc>
          <w:tcPr>
            <w:tcW w:type="dxa" w:w="3312"/>
            <w:vAlign w:val="center"/>
          </w:tcPr>
          <w:p>
            <w:pPr>
              <w:spacing w:after="0"/>
            </w:pPr>
            <w:r/>
            <w:r>
              <w:rPr>
                <w:b w:val="0"/>
                <w:sz w:val="16"/>
              </w:rPr>
              <w:t>If labelled historical outcomes are available, classify cases at risk of delay or incomplete submission and validate performance on held-out data.</w:t>
            </w:r>
          </w:p>
        </w:tc>
        <w:tc>
          <w:tcPr>
            <w:tcW w:type="dxa" w:w="3312"/>
            <w:vAlign w:val="center"/>
          </w:tcPr>
          <w:p>
            <w:pPr>
              <w:spacing w:after="0"/>
            </w:pPr>
            <w:r/>
            <w:r>
              <w:rPr>
                <w:b w:val="0"/>
                <w:sz w:val="16"/>
              </w:rPr>
              <w:t>May support early intervention; requires fairness checks and human oversight.</w:t>
            </w:r>
          </w:p>
        </w:tc>
      </w:tr>
      <w:tr>
        <w:tc>
          <w:tcPr>
            <w:tcW w:type="dxa" w:w="3312"/>
            <w:vAlign w:val="center"/>
          </w:tcPr>
          <w:p>
            <w:pPr>
              <w:spacing w:after="0"/>
            </w:pPr>
            <w:r/>
            <w:r>
              <w:rPr>
                <w:b w:val="0"/>
                <w:sz w:val="16"/>
              </w:rPr>
              <w:t>Clustering</w:t>
            </w:r>
          </w:p>
        </w:tc>
        <w:tc>
          <w:tcPr>
            <w:tcW w:type="dxa" w:w="3312"/>
            <w:vAlign w:val="center"/>
          </w:tcPr>
          <w:p>
            <w:pPr>
              <w:spacing w:after="0"/>
            </w:pPr>
            <w:r/>
            <w:r>
              <w:rPr>
                <w:b w:val="0"/>
                <w:sz w:val="16"/>
              </w:rPr>
              <w:t>Group similar service journeys or complaint patterns when appropriate.</w:t>
            </w:r>
          </w:p>
        </w:tc>
        <w:tc>
          <w:tcPr>
            <w:tcW w:type="dxa" w:w="3312"/>
            <w:vAlign w:val="center"/>
          </w:tcPr>
          <w:p>
            <w:pPr>
              <w:spacing w:after="0"/>
            </w:pPr>
            <w:r/>
            <w:r>
              <w:rPr>
                <w:b w:val="0"/>
                <w:sz w:val="16"/>
              </w:rPr>
              <w:t>Can reveal user-journey segments with different needs or recurring problems.</w:t>
            </w:r>
          </w:p>
        </w:tc>
      </w:tr>
      <w:tr>
        <w:tc>
          <w:tcPr>
            <w:tcW w:type="dxa" w:w="3312"/>
            <w:vAlign w:val="center"/>
          </w:tcPr>
          <w:p>
            <w:pPr>
              <w:spacing w:after="0"/>
            </w:pPr>
            <w:r/>
            <w:r>
              <w:rPr>
                <w:b w:val="0"/>
                <w:sz w:val="16"/>
              </w:rPr>
              <w:t>Text/theme analysis</w:t>
            </w:r>
          </w:p>
        </w:tc>
        <w:tc>
          <w:tcPr>
            <w:tcW w:type="dxa" w:w="3312"/>
            <w:vAlign w:val="center"/>
          </w:tcPr>
          <w:p>
            <w:pPr>
              <w:spacing w:after="0"/>
            </w:pPr>
            <w:r/>
            <w:r>
              <w:rPr>
                <w:b w:val="0"/>
                <w:sz w:val="16"/>
              </w:rPr>
              <w:t>Code feedback into themes such as unclear instructions, payment issues, login problems, or status uncertainty.</w:t>
            </w:r>
          </w:p>
        </w:tc>
        <w:tc>
          <w:tcPr>
            <w:tcW w:type="dxa" w:w="3312"/>
            <w:vAlign w:val="center"/>
          </w:tcPr>
          <w:p>
            <w:pPr>
              <w:spacing w:after="0"/>
            </w:pPr>
            <w:r/>
            <w:r>
              <w:rPr>
                <w:b w:val="0"/>
                <w:sz w:val="16"/>
              </w:rPr>
              <w:t>Connects numeric patterns with citizens’ explanations.</w:t>
            </w:r>
          </w:p>
        </w:tc>
      </w:tr>
      <w:tr>
        <w:tc>
          <w:tcPr>
            <w:tcW w:type="dxa" w:w="3312"/>
            <w:vAlign w:val="center"/>
          </w:tcPr>
          <w:p>
            <w:pPr>
              <w:spacing w:after="0"/>
            </w:pPr>
            <w:r/>
            <w:r>
              <w:rPr>
                <w:b w:val="0"/>
                <w:sz w:val="16"/>
              </w:rPr>
              <w:t>Visualization and reporting</w:t>
            </w:r>
          </w:p>
        </w:tc>
        <w:tc>
          <w:tcPr>
            <w:tcW w:type="dxa" w:w="3312"/>
            <w:vAlign w:val="center"/>
          </w:tcPr>
          <w:p>
            <w:pPr>
              <w:spacing w:after="0"/>
            </w:pPr>
            <w:r/>
            <w:r>
              <w:rPr>
                <w:b w:val="0"/>
                <w:sz w:val="16"/>
              </w:rPr>
              <w:t>Use trend lines, bar charts, funnel charts, box plots, and segmented scorecards with clear labels.</w:t>
            </w:r>
          </w:p>
        </w:tc>
        <w:tc>
          <w:tcPr>
            <w:tcW w:type="dxa" w:w="3312"/>
            <w:vAlign w:val="center"/>
          </w:tcPr>
          <w:p>
            <w:pPr>
              <w:spacing w:after="0"/>
            </w:pPr>
            <w:r/>
            <w:r>
              <w:rPr>
                <w:b w:val="0"/>
                <w:sz w:val="16"/>
              </w:rPr>
              <w:t>Makes patterns understandable to managers and non-technical stakeholders.</w:t>
            </w:r>
          </w:p>
        </w:tc>
      </w:tr>
    </w:tbl>
    <w:p/>
    <w:p>
      <w:pPr>
        <w:pStyle w:val="Heading2"/>
      </w:pPr>
      <w:r>
        <w:t>5.1 From insight to action: decision examples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sz w:val="16"/>
              </w:rPr>
              <w:t>Potential data signal</w:t>
            </w:r>
          </w:p>
        </w:tc>
        <w:tc>
          <w:tcPr>
            <w:tcW w:type="dxa" w:w="3312"/>
            <w:vAlign w:val="center"/>
            <w:shd w:fill="D9EAF7"/>
          </w:tcPr>
          <w:p>
            <w:pPr>
              <w:spacing w:after="0"/>
            </w:pPr>
            <w:r/>
            <w:r>
              <w:rPr>
                <w:b/>
                <w:sz w:val="16"/>
              </w:rPr>
              <w:t>Analysis / validation</w:t>
            </w:r>
          </w:p>
        </w:tc>
        <w:tc>
          <w:tcPr>
            <w:tcW w:type="dxa" w:w="3312"/>
            <w:vAlign w:val="center"/>
            <w:shd w:fill="D9EAF7"/>
          </w:tcPr>
          <w:p>
            <w:pPr>
              <w:spacing w:after="0"/>
            </w:pPr>
            <w:r/>
            <w:r>
              <w:rPr>
                <w:b/>
                <w:sz w:val="16"/>
              </w:rPr>
              <w:t>Possible response</w:t>
            </w:r>
          </w:p>
        </w:tc>
      </w:tr>
      <w:tr>
        <w:tc>
          <w:tcPr>
            <w:tcW w:type="dxa" w:w="3312"/>
            <w:vAlign w:val="center"/>
          </w:tcPr>
          <w:p>
            <w:pPr>
              <w:spacing w:after="0"/>
            </w:pPr>
            <w:r/>
            <w:r>
              <w:rPr>
                <w:b w:val="0"/>
                <w:sz w:val="16"/>
              </w:rPr>
              <w:t>High drop-off at document upload</w:t>
            </w:r>
          </w:p>
        </w:tc>
        <w:tc>
          <w:tcPr>
            <w:tcW w:type="dxa" w:w="3312"/>
            <w:vAlign w:val="center"/>
          </w:tcPr>
          <w:p>
            <w:pPr>
              <w:spacing w:after="0"/>
            </w:pPr>
            <w:r/>
            <w:r>
              <w:rPr>
                <w:b w:val="0"/>
                <w:sz w:val="16"/>
              </w:rPr>
              <w:t>Check device/browser errors, file size/type limits, and instruction clarity.</w:t>
            </w:r>
          </w:p>
        </w:tc>
        <w:tc>
          <w:tcPr>
            <w:tcW w:type="dxa" w:w="3312"/>
            <w:vAlign w:val="center"/>
          </w:tcPr>
          <w:p>
            <w:pPr>
              <w:spacing w:after="0"/>
            </w:pPr>
            <w:r/>
            <w:r>
              <w:rPr>
                <w:b w:val="0"/>
                <w:sz w:val="16"/>
              </w:rPr>
              <w:t>Simplify upload guidance, validate files early, offer save-and-resume, and provide assisted alternatives.</w:t>
            </w:r>
          </w:p>
        </w:tc>
      </w:tr>
      <w:tr>
        <w:tc>
          <w:tcPr>
            <w:tcW w:type="dxa" w:w="3312"/>
            <w:vAlign w:val="center"/>
          </w:tcPr>
          <w:p>
            <w:pPr>
              <w:spacing w:after="0"/>
            </w:pPr>
            <w:r/>
            <w:r>
              <w:rPr>
                <w:b w:val="0"/>
                <w:sz w:val="16"/>
              </w:rPr>
              <w:t>Long processing time for one case type</w:t>
            </w:r>
          </w:p>
        </w:tc>
        <w:tc>
          <w:tcPr>
            <w:tcW w:type="dxa" w:w="3312"/>
            <w:vAlign w:val="center"/>
          </w:tcPr>
          <w:p>
            <w:pPr>
              <w:spacing w:after="0"/>
            </w:pPr>
            <w:r/>
            <w:r>
              <w:rPr>
                <w:b w:val="0"/>
                <w:sz w:val="16"/>
              </w:rPr>
              <w:t>Compare median and 90th-percentile time by case type; inspect queue and handoff timestamps.</w:t>
            </w:r>
          </w:p>
        </w:tc>
        <w:tc>
          <w:tcPr>
            <w:tcW w:type="dxa" w:w="3312"/>
            <w:vAlign w:val="center"/>
          </w:tcPr>
          <w:p>
            <w:pPr>
              <w:spacing w:after="0"/>
            </w:pPr>
            <w:r/>
            <w:r>
              <w:rPr>
                <w:b w:val="0"/>
                <w:sz w:val="16"/>
              </w:rPr>
              <w:t>Rebalance workload, clarify ownership, automate low-risk routing, and review complex-case rules.</w:t>
            </w:r>
          </w:p>
        </w:tc>
      </w:tr>
      <w:tr>
        <w:tc>
          <w:tcPr>
            <w:tcW w:type="dxa" w:w="3312"/>
            <w:vAlign w:val="center"/>
          </w:tcPr>
          <w:p>
            <w:pPr>
              <w:spacing w:after="0"/>
            </w:pPr>
            <w:r/>
            <w:r>
              <w:rPr>
                <w:b w:val="0"/>
                <w:sz w:val="16"/>
              </w:rPr>
              <w:t>Many repeated form corrections</w:t>
            </w:r>
          </w:p>
        </w:tc>
        <w:tc>
          <w:tcPr>
            <w:tcW w:type="dxa" w:w="3312"/>
            <w:vAlign w:val="center"/>
          </w:tcPr>
          <w:p>
            <w:pPr>
              <w:spacing w:after="0"/>
            </w:pPr>
            <w:r/>
            <w:r>
              <w:rPr>
                <w:b w:val="0"/>
                <w:sz w:val="16"/>
              </w:rPr>
              <w:t>Use first-time-right rate and error-field frequency.</w:t>
            </w:r>
          </w:p>
        </w:tc>
        <w:tc>
          <w:tcPr>
            <w:tcW w:type="dxa" w:w="3312"/>
            <w:vAlign w:val="center"/>
          </w:tcPr>
          <w:p>
            <w:pPr>
              <w:spacing w:after="0"/>
            </w:pPr>
            <w:r/>
            <w:r>
              <w:rPr>
                <w:b w:val="0"/>
                <w:sz w:val="16"/>
              </w:rPr>
              <w:t>Rewrite field labels, add examples, use inline validation, and test forms with citizens.</w:t>
            </w:r>
          </w:p>
        </w:tc>
      </w:tr>
      <w:tr>
        <w:tc>
          <w:tcPr>
            <w:tcW w:type="dxa" w:w="3312"/>
            <w:vAlign w:val="center"/>
          </w:tcPr>
          <w:p>
            <w:pPr>
              <w:spacing w:after="0"/>
            </w:pPr>
            <w:r/>
            <w:r>
              <w:rPr>
                <w:b w:val="0"/>
                <w:sz w:val="16"/>
              </w:rPr>
              <w:t>High complaint volume about status</w:t>
            </w:r>
          </w:p>
        </w:tc>
        <w:tc>
          <w:tcPr>
            <w:tcW w:type="dxa" w:w="3312"/>
            <w:vAlign w:val="center"/>
          </w:tcPr>
          <w:p>
            <w:pPr>
              <w:spacing w:after="0"/>
            </w:pPr>
            <w:r/>
            <w:r>
              <w:rPr>
                <w:b w:val="0"/>
                <w:sz w:val="16"/>
              </w:rPr>
              <w:t>Compare status visibility and complaint themes.</w:t>
            </w:r>
          </w:p>
        </w:tc>
        <w:tc>
          <w:tcPr>
            <w:tcW w:type="dxa" w:w="3312"/>
            <w:vAlign w:val="center"/>
          </w:tcPr>
          <w:p>
            <w:pPr>
              <w:spacing w:after="0"/>
            </w:pPr>
            <w:r/>
            <w:r>
              <w:rPr>
                <w:b w:val="0"/>
                <w:sz w:val="16"/>
              </w:rPr>
              <w:t>Provide plain-language status stages, expected timelines, and notifications for material changes.</w:t>
            </w:r>
          </w:p>
        </w:tc>
      </w:tr>
      <w:tr>
        <w:tc>
          <w:tcPr>
            <w:tcW w:type="dxa" w:w="3312"/>
            <w:vAlign w:val="center"/>
          </w:tcPr>
          <w:p>
            <w:pPr>
              <w:spacing w:after="0"/>
            </w:pPr>
            <w:r/>
            <w:r>
              <w:rPr>
                <w:b w:val="0"/>
                <w:sz w:val="16"/>
              </w:rPr>
              <w:t>Unequal completion across channels or regions</w:t>
            </w:r>
          </w:p>
        </w:tc>
        <w:tc>
          <w:tcPr>
            <w:tcW w:type="dxa" w:w="3312"/>
            <w:vAlign w:val="center"/>
          </w:tcPr>
          <w:p>
            <w:pPr>
              <w:spacing w:after="0"/>
            </w:pPr>
            <w:r/>
            <w:r>
              <w:rPr>
                <w:b w:val="0"/>
                <w:sz w:val="16"/>
              </w:rPr>
              <w:t>Check data coverage and compare task success, connectivity constraints, and helpdesk use.</w:t>
            </w:r>
          </w:p>
        </w:tc>
        <w:tc>
          <w:tcPr>
            <w:tcW w:type="dxa" w:w="3312"/>
            <w:vAlign w:val="center"/>
          </w:tcPr>
          <w:p>
            <w:pPr>
              <w:spacing w:after="0"/>
            </w:pPr>
            <w:r/>
            <w:r>
              <w:rPr>
                <w:b w:val="0"/>
                <w:sz w:val="16"/>
              </w:rPr>
              <w:t>Improve mobile performance, local-language support, assisted service, and outreach.</w:t>
            </w:r>
          </w:p>
        </w:tc>
      </w:tr>
      <w:tr>
        <w:tc>
          <w:tcPr>
            <w:tcW w:type="dxa" w:w="3312"/>
            <w:vAlign w:val="center"/>
          </w:tcPr>
          <w:p>
            <w:pPr>
              <w:spacing w:after="0"/>
            </w:pPr>
            <w:r/>
            <w:r>
              <w:rPr>
                <w:b w:val="0"/>
                <w:sz w:val="16"/>
              </w:rPr>
              <w:t>Frequent outages or failed transactions</w:t>
            </w:r>
          </w:p>
        </w:tc>
        <w:tc>
          <w:tcPr>
            <w:tcW w:type="dxa" w:w="3312"/>
            <w:vAlign w:val="center"/>
          </w:tcPr>
          <w:p>
            <w:pPr>
              <w:spacing w:after="0"/>
            </w:pPr>
            <w:r/>
            <w:r>
              <w:rPr>
                <w:b w:val="0"/>
                <w:sz w:val="16"/>
              </w:rPr>
              <w:t>Correlate incident logs with failed transactions and peak demand.</w:t>
            </w:r>
          </w:p>
        </w:tc>
        <w:tc>
          <w:tcPr>
            <w:tcW w:type="dxa" w:w="3312"/>
            <w:vAlign w:val="center"/>
          </w:tcPr>
          <w:p>
            <w:pPr>
              <w:spacing w:after="0"/>
            </w:pPr>
            <w:r/>
            <w:r>
              <w:rPr>
                <w:b w:val="0"/>
                <w:sz w:val="16"/>
              </w:rPr>
              <w:t>Improve monitoring, capacity planning, rollback procedures, and incident communication.</w:t>
            </w:r>
          </w:p>
        </w:tc>
      </w:tr>
    </w:tbl>
    <w:p/>
    <w:p>
      <w:pPr>
        <w:pStyle w:val="Heading1"/>
      </w:pPr>
      <w:r>
        <w:t>6. Strategic Recommendations</w:t>
      </w:r>
    </w:p>
    <w:p>
      <w:pPr>
        <w:pStyle w:val="Heading2"/>
      </w:pPr>
      <w:r>
        <w:t>6.1 Improve the highest-friction steps first</w:t>
      </w:r>
    </w:p>
    <w:p>
      <w:r>
        <w:t>Use funnel/drop-off analysis and error logs to identify the step where users most often fail. Prioritize changes to forms, document upload, authentication, and payment flows.</w:t>
      </w:r>
    </w:p>
    <w:p>
      <w:r>
        <w:rPr>
          <w:b/>
        </w:rPr>
        <w:t xml:space="preserve">Suggested owner: </w:t>
      </w:r>
      <w:r>
        <w:t>Product/service owner and technical team</w:t>
      </w:r>
      <w:r>
        <w:rPr>
          <w:b/>
        </w:rPr>
        <w:t xml:space="preserve"> | Feasibility: </w:t>
      </w:r>
      <w:r>
        <w:t>Low to medium</w:t>
      </w:r>
      <w:r>
        <w:rPr>
          <w:b/>
        </w:rPr>
        <w:t xml:space="preserve"> | Measures: </w:t>
      </w:r>
      <w:r>
        <w:t>Completion rate; first-time-right rate; support contacts per transaction</w:t>
      </w:r>
    </w:p>
    <w:p>
      <w:pPr>
        <w:pStyle w:val="Heading2"/>
      </w:pPr>
      <w:r>
        <w:t>6.2 Adopt service standards and transparent status updates</w:t>
      </w:r>
    </w:p>
    <w:p>
      <w:r>
        <w:t>Publish clear eligibility rules, required documents, fees, expected processing times, status meanings, and grievance routes. Ensure messages are accurate and accessible.</w:t>
      </w:r>
    </w:p>
    <w:p>
      <w:r>
        <w:rPr>
          <w:b/>
        </w:rPr>
        <w:t xml:space="preserve">Suggested owner: </w:t>
      </w:r>
      <w:r>
        <w:t>Department/service owner</w:t>
      </w:r>
      <w:r>
        <w:rPr>
          <w:b/>
        </w:rPr>
        <w:t xml:space="preserve"> | Feasibility: </w:t>
      </w:r>
      <w:r>
        <w:t>Low to medium</w:t>
      </w:r>
      <w:r>
        <w:rPr>
          <w:b/>
        </w:rPr>
        <w:t xml:space="preserve"> | Measures: </w:t>
      </w:r>
      <w:r>
        <w:t>Status visibility; complaints about status; timely resolution</w:t>
      </w:r>
    </w:p>
    <w:p>
      <w:pPr>
        <w:pStyle w:val="Heading2"/>
      </w:pPr>
      <w:r>
        <w:t>6.3 Design for accessibility and inclusion</w:t>
      </w:r>
    </w:p>
    <w:p>
      <w:r>
        <w:t>Test mobile and low-bandwidth performance, keyboard navigation, screen readers, readable language, local-language content, and assisted/offline pathways.</w:t>
      </w:r>
    </w:p>
    <w:p>
      <w:r>
        <w:rPr>
          <w:b/>
        </w:rPr>
        <w:t xml:space="preserve">Suggested owner: </w:t>
      </w:r>
      <w:r>
        <w:t>UX/accessibility lead and frontline staff</w:t>
      </w:r>
      <w:r>
        <w:rPr>
          <w:b/>
        </w:rPr>
        <w:t xml:space="preserve"> | Feasibility: </w:t>
      </w:r>
      <w:r>
        <w:t>Medium</w:t>
      </w:r>
      <w:r>
        <w:rPr>
          <w:b/>
        </w:rPr>
        <w:t xml:space="preserve"> | Measures: </w:t>
      </w:r>
      <w:r>
        <w:t>Task success by channel; accessibility defects; completion gaps</w:t>
      </w:r>
    </w:p>
    <w:p>
      <w:pPr>
        <w:pStyle w:val="Heading2"/>
      </w:pPr>
      <w:r>
        <w:t>6.4 Use operational dashboards and alerts</w:t>
      </w:r>
    </w:p>
    <w:p>
      <w:r>
        <w:t>Create a compact dashboard for volume, completion, processing time, error rate, availability, and unresolved grievances. Add alerts for critical thresholds.</w:t>
      </w:r>
    </w:p>
    <w:p>
      <w:r>
        <w:rPr>
          <w:b/>
        </w:rPr>
        <w:t xml:space="preserve">Suggested owner: </w:t>
      </w:r>
      <w:r>
        <w:t>Data analyst and IT operations</w:t>
      </w:r>
      <w:r>
        <w:rPr>
          <w:b/>
        </w:rPr>
        <w:t xml:space="preserve"> | Feasibility: </w:t>
      </w:r>
      <w:r>
        <w:t>Medium</w:t>
      </w:r>
      <w:r>
        <w:rPr>
          <w:b/>
        </w:rPr>
        <w:t xml:space="preserve"> | Measures: </w:t>
      </w:r>
      <w:r>
        <w:t>Metric freshness; incident detection time; SLA compliance</w:t>
      </w:r>
    </w:p>
    <w:p>
      <w:pPr>
        <w:pStyle w:val="Heading2"/>
      </w:pPr>
      <w:r>
        <w:t>6.5 Strengthen data quality and governance</w:t>
      </w:r>
    </w:p>
    <w:p>
      <w:r>
        <w:t>Maintain a metric dictionary, data-owner list, access controls, retention rules, validation checks, and documented changes to definitions.</w:t>
      </w:r>
    </w:p>
    <w:p>
      <w:r>
        <w:rPr>
          <w:b/>
        </w:rPr>
        <w:t xml:space="preserve">Suggested owner: </w:t>
      </w:r>
      <w:r>
        <w:t>Data steward and department leadership</w:t>
      </w:r>
      <w:r>
        <w:rPr>
          <w:b/>
        </w:rPr>
        <w:t xml:space="preserve"> | Feasibility: </w:t>
      </w:r>
      <w:r>
        <w:t>Low to medium</w:t>
      </w:r>
      <w:r>
        <w:rPr>
          <w:b/>
        </w:rPr>
        <w:t xml:space="preserve"> | Measures: </w:t>
      </w:r>
      <w:r>
        <w:t>Completeness; duplicate rate; correction frequency; audit findings</w:t>
      </w:r>
    </w:p>
    <w:p>
      <w:pPr>
        <w:pStyle w:val="Heading2"/>
      </w:pPr>
      <w:r>
        <w:t>6.6 Introduce targeted staff and citizen support</w:t>
      </w:r>
    </w:p>
    <w:p>
      <w:r>
        <w:t>Use complaint themes and helpdesk patterns to create short guides, FAQs, staff refreshers, and assisted-digital support for difficult steps.</w:t>
      </w:r>
    </w:p>
    <w:p>
      <w:r>
        <w:rPr>
          <w:b/>
        </w:rPr>
        <w:t xml:space="preserve">Suggested owner: </w:t>
      </w:r>
      <w:r>
        <w:t>Training/helpdesk lead</w:t>
      </w:r>
      <w:r>
        <w:rPr>
          <w:b/>
        </w:rPr>
        <w:t xml:space="preserve"> | Feasibility: </w:t>
      </w:r>
      <w:r>
        <w:t>Low</w:t>
      </w:r>
      <w:r>
        <w:rPr>
          <w:b/>
        </w:rPr>
        <w:t xml:space="preserve"> | Measures: </w:t>
      </w:r>
      <w:r>
        <w:t>Repeat-contact rate; resolution time; satisfaction</w:t>
      </w:r>
    </w:p>
    <w:p>
      <w:pPr>
        <w:pStyle w:val="Heading2"/>
      </w:pPr>
      <w:r>
        <w:t>6.7 Pilot changes before wider rollout</w:t>
      </w:r>
    </w:p>
    <w:p>
      <w:r>
        <w:t>Test one or two improvements with a limited user group or service unit. Compare results with baseline and a suitable comparison where feasible.</w:t>
      </w:r>
    </w:p>
    <w:p>
      <w:r>
        <w:rPr>
          <w:b/>
        </w:rPr>
        <w:t xml:space="preserve">Suggested owner: </w:t>
      </w:r>
      <w:r>
        <w:t>Service owner and analyst</w:t>
      </w:r>
      <w:r>
        <w:rPr>
          <w:b/>
        </w:rPr>
        <w:t xml:space="preserve"> | Feasibility: </w:t>
      </w:r>
      <w:r>
        <w:t>Medium</w:t>
      </w:r>
      <w:r>
        <w:rPr>
          <w:b/>
        </w:rPr>
        <w:t xml:space="preserve"> | Measures: </w:t>
      </w:r>
      <w:r>
        <w:t>Predefined primary metric; guardrail metrics; user feedback</w:t>
      </w:r>
    </w:p>
    <w:p>
      <w:pPr>
        <w:pStyle w:val="Heading2"/>
      </w:pPr>
      <w:r>
        <w:t>6.8 Review privacy, security, and fairness</w:t>
      </w:r>
    </w:p>
    <w:p>
      <w:r>
        <w:t>Minimize personal data, restrict access, log administrative access, review retention, and test automated risk flags for unequal errors or outcomes.</w:t>
      </w:r>
    </w:p>
    <w:p>
      <w:r>
        <w:rPr>
          <w:b/>
        </w:rPr>
        <w:t xml:space="preserve">Suggested owner: </w:t>
      </w:r>
      <w:r>
        <w:t>Security/privacy lead and governance team</w:t>
      </w:r>
      <w:r>
        <w:rPr>
          <w:b/>
        </w:rPr>
        <w:t xml:space="preserve"> | Feasibility: </w:t>
      </w:r>
      <w:r>
        <w:t>Medium</w:t>
      </w:r>
      <w:r>
        <w:rPr>
          <w:b/>
        </w:rPr>
        <w:t xml:space="preserve"> | Measures: </w:t>
      </w:r>
      <w:r>
        <w:t>Incident severity; access-review completion; group-level error gaps</w:t>
      </w:r>
    </w:p>
    <w:p>
      <w:pPr>
        <w:pStyle w:val="Heading1"/>
      </w:pPr>
      <w:r>
        <w:t>7. Feasibility, Prioritization, and Timeline</w:t>
      </w:r>
    </w:p>
    <w:p>
      <w:r>
        <w:t>Recommendations should be ranked using a simple impact-feasibility-risk assessment. Quick wins include clearer instructions, improved error messages, a metric dictionary, and a basic dashboard. Changes requiring procurement, integrations, policy approval, or major system redesign should be planned as later phases. Do not automate a weak process before confirming that the underlying policy and workflow are correct.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sz w:val="16"/>
              </w:rPr>
              <w:t>Priority</w:t>
            </w:r>
          </w:p>
        </w:tc>
        <w:tc>
          <w:tcPr>
            <w:tcW w:type="dxa" w:w="2484"/>
            <w:vAlign w:val="center"/>
            <w:shd w:fill="D9EAF7"/>
          </w:tcPr>
          <w:p>
            <w:pPr>
              <w:spacing w:after="0"/>
            </w:pPr>
            <w:r/>
            <w:r>
              <w:rPr>
                <w:b/>
                <w:sz w:val="16"/>
              </w:rPr>
              <w:t>Examples</w:t>
            </w:r>
          </w:p>
        </w:tc>
        <w:tc>
          <w:tcPr>
            <w:tcW w:type="dxa" w:w="2484"/>
            <w:vAlign w:val="center"/>
            <w:shd w:fill="D9EAF7"/>
          </w:tcPr>
          <w:p>
            <w:pPr>
              <w:spacing w:after="0"/>
            </w:pPr>
            <w:r/>
            <w:r>
              <w:rPr>
                <w:b/>
                <w:sz w:val="16"/>
              </w:rPr>
              <w:t>Indicative horizon</w:t>
            </w:r>
          </w:p>
        </w:tc>
        <w:tc>
          <w:tcPr>
            <w:tcW w:type="dxa" w:w="2484"/>
            <w:vAlign w:val="center"/>
            <w:shd w:fill="D9EAF7"/>
          </w:tcPr>
          <w:p>
            <w:pPr>
              <w:spacing w:after="0"/>
            </w:pPr>
            <w:r/>
            <w:r>
              <w:rPr>
                <w:b/>
                <w:sz w:val="16"/>
              </w:rPr>
              <w:t>Accountable role</w:t>
            </w:r>
          </w:p>
        </w:tc>
      </w:tr>
      <w:tr>
        <w:tc>
          <w:tcPr>
            <w:tcW w:type="dxa" w:w="2484"/>
            <w:vAlign w:val="center"/>
          </w:tcPr>
          <w:p>
            <w:pPr>
              <w:spacing w:after="0"/>
            </w:pPr>
            <w:r/>
            <w:r>
              <w:rPr>
                <w:b w:val="0"/>
                <w:sz w:val="16"/>
              </w:rPr>
              <w:t>Priority 1: Immediate</w:t>
            </w:r>
          </w:p>
        </w:tc>
        <w:tc>
          <w:tcPr>
            <w:tcW w:type="dxa" w:w="2484"/>
            <w:vAlign w:val="center"/>
          </w:tcPr>
          <w:p>
            <w:pPr>
              <w:spacing w:after="0"/>
            </w:pPr>
            <w:r/>
            <w:r>
              <w:rPr>
                <w:b w:val="0"/>
                <w:sz w:val="16"/>
              </w:rPr>
              <w:t>Critical outages, privacy/security concerns, broken core tasks, unclear mandatory instructions</w:t>
            </w:r>
          </w:p>
        </w:tc>
        <w:tc>
          <w:tcPr>
            <w:tcW w:type="dxa" w:w="2484"/>
            <w:vAlign w:val="center"/>
          </w:tcPr>
          <w:p>
            <w:pPr>
              <w:spacing w:after="0"/>
            </w:pPr>
            <w:r/>
            <w:r>
              <w:rPr>
                <w:b w:val="0"/>
                <w:sz w:val="16"/>
              </w:rPr>
              <w:t>Days to 2 weeks, depending on severity</w:t>
            </w:r>
          </w:p>
        </w:tc>
        <w:tc>
          <w:tcPr>
            <w:tcW w:type="dxa" w:w="2484"/>
            <w:vAlign w:val="center"/>
          </w:tcPr>
          <w:p>
            <w:pPr>
              <w:spacing w:after="0"/>
            </w:pPr>
            <w:r/>
            <w:r>
              <w:rPr>
                <w:b w:val="0"/>
                <w:sz w:val="16"/>
              </w:rPr>
              <w:t>Service owner / IT operations</w:t>
            </w:r>
          </w:p>
        </w:tc>
      </w:tr>
      <w:tr>
        <w:tc>
          <w:tcPr>
            <w:tcW w:type="dxa" w:w="2484"/>
            <w:vAlign w:val="center"/>
          </w:tcPr>
          <w:p>
            <w:pPr>
              <w:spacing w:after="0"/>
            </w:pPr>
            <w:r/>
            <w:r>
              <w:rPr>
                <w:b w:val="0"/>
                <w:sz w:val="16"/>
              </w:rPr>
              <w:t>Priority 2: Quick wins</w:t>
            </w:r>
          </w:p>
        </w:tc>
        <w:tc>
          <w:tcPr>
            <w:tcW w:type="dxa" w:w="2484"/>
            <w:vAlign w:val="center"/>
          </w:tcPr>
          <w:p>
            <w:pPr>
              <w:spacing w:after="0"/>
            </w:pPr>
            <w:r/>
            <w:r>
              <w:rPr>
                <w:b w:val="0"/>
                <w:sz w:val="16"/>
              </w:rPr>
              <w:t>Form wording, FAQs, status explanations, dashboard definitions, basic data-quality checks</w:t>
            </w:r>
          </w:p>
        </w:tc>
        <w:tc>
          <w:tcPr>
            <w:tcW w:type="dxa" w:w="2484"/>
            <w:vAlign w:val="center"/>
          </w:tcPr>
          <w:p>
            <w:pPr>
              <w:spacing w:after="0"/>
            </w:pPr>
            <w:r/>
            <w:r>
              <w:rPr>
                <w:b w:val="0"/>
                <w:sz w:val="16"/>
              </w:rPr>
              <w:t>2–6 weeks</w:t>
            </w:r>
          </w:p>
        </w:tc>
        <w:tc>
          <w:tcPr>
            <w:tcW w:type="dxa" w:w="2484"/>
            <w:vAlign w:val="center"/>
          </w:tcPr>
          <w:p>
            <w:pPr>
              <w:spacing w:after="0"/>
            </w:pPr>
            <w:r/>
            <w:r>
              <w:rPr>
                <w:b w:val="0"/>
                <w:sz w:val="16"/>
              </w:rPr>
              <w:t>Product owner / analyst / helpdesk</w:t>
            </w:r>
          </w:p>
        </w:tc>
      </w:tr>
      <w:tr>
        <w:tc>
          <w:tcPr>
            <w:tcW w:type="dxa" w:w="2484"/>
            <w:vAlign w:val="center"/>
          </w:tcPr>
          <w:p>
            <w:pPr>
              <w:spacing w:after="0"/>
            </w:pPr>
            <w:r/>
            <w:r>
              <w:rPr>
                <w:b w:val="0"/>
                <w:sz w:val="16"/>
              </w:rPr>
              <w:t>Priority 3: Medium-term</w:t>
            </w:r>
          </w:p>
        </w:tc>
        <w:tc>
          <w:tcPr>
            <w:tcW w:type="dxa" w:w="2484"/>
            <w:vAlign w:val="center"/>
          </w:tcPr>
          <w:p>
            <w:pPr>
              <w:spacing w:after="0"/>
            </w:pPr>
            <w:r/>
            <w:r>
              <w:rPr>
                <w:b w:val="0"/>
                <w:sz w:val="16"/>
              </w:rPr>
              <w:t>Accessibility remediation, mobile/low-bandwidth improvements, notification integration, workflow redesign</w:t>
            </w:r>
          </w:p>
        </w:tc>
        <w:tc>
          <w:tcPr>
            <w:tcW w:type="dxa" w:w="2484"/>
            <w:vAlign w:val="center"/>
          </w:tcPr>
          <w:p>
            <w:pPr>
              <w:spacing w:after="0"/>
            </w:pPr>
            <w:r/>
            <w:r>
              <w:rPr>
                <w:b w:val="0"/>
                <w:sz w:val="16"/>
              </w:rPr>
              <w:t>1–3 months</w:t>
            </w:r>
          </w:p>
        </w:tc>
        <w:tc>
          <w:tcPr>
            <w:tcW w:type="dxa" w:w="2484"/>
            <w:vAlign w:val="center"/>
          </w:tcPr>
          <w:p>
            <w:pPr>
              <w:spacing w:after="0"/>
            </w:pPr>
            <w:r/>
            <w:r>
              <w:rPr>
                <w:b w:val="0"/>
                <w:sz w:val="16"/>
              </w:rPr>
              <w:t>Technical team / UX / department</w:t>
            </w:r>
          </w:p>
        </w:tc>
      </w:tr>
      <w:tr>
        <w:tc>
          <w:tcPr>
            <w:tcW w:type="dxa" w:w="2484"/>
            <w:vAlign w:val="center"/>
          </w:tcPr>
          <w:p>
            <w:pPr>
              <w:spacing w:after="0"/>
            </w:pPr>
            <w:r/>
            <w:r>
              <w:rPr>
                <w:b w:val="0"/>
                <w:sz w:val="16"/>
              </w:rPr>
              <w:t>Priority 4: Longer-term</w:t>
            </w:r>
          </w:p>
        </w:tc>
        <w:tc>
          <w:tcPr>
            <w:tcW w:type="dxa" w:w="2484"/>
            <w:vAlign w:val="center"/>
          </w:tcPr>
          <w:p>
            <w:pPr>
              <w:spacing w:after="0"/>
            </w:pPr>
            <w:r/>
            <w:r>
              <w:rPr>
                <w:b w:val="0"/>
                <w:sz w:val="16"/>
              </w:rPr>
              <w:t>Major platform integration, advanced predictive analytics, policy changes, procurement-dependent work</w:t>
            </w:r>
          </w:p>
        </w:tc>
        <w:tc>
          <w:tcPr>
            <w:tcW w:type="dxa" w:w="2484"/>
            <w:vAlign w:val="center"/>
          </w:tcPr>
          <w:p>
            <w:pPr>
              <w:spacing w:after="0"/>
            </w:pPr>
            <w:r/>
            <w:r>
              <w:rPr>
                <w:b w:val="0"/>
                <w:sz w:val="16"/>
              </w:rPr>
              <w:t>3–6 months or more</w:t>
            </w:r>
          </w:p>
        </w:tc>
        <w:tc>
          <w:tcPr>
            <w:tcW w:type="dxa" w:w="2484"/>
            <w:vAlign w:val="center"/>
          </w:tcPr>
          <w:p>
            <w:pPr>
              <w:spacing w:after="0"/>
            </w:pPr>
            <w:r/>
            <w:r>
              <w:rPr>
                <w:b w:val="0"/>
                <w:sz w:val="16"/>
              </w:rPr>
              <w:t>Department leadership / IT / policy team</w:t>
            </w:r>
          </w:p>
        </w:tc>
      </w:tr>
    </w:tbl>
    <w:p/>
    <w:p>
      <w:pPr>
        <w:pStyle w:val="Heading2"/>
      </w:pPr>
      <w:r>
        <w:t>7.1 Work plan for the 30–35-hour task period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sz w:val="17"/>
              </w:rPr>
              <w:t>Activity</w:t>
            </w:r>
          </w:p>
        </w:tc>
        <w:tc>
          <w:tcPr>
            <w:tcW w:type="dxa" w:w="3312"/>
            <w:vAlign w:val="center"/>
            <w:shd w:fill="D9EAF7"/>
          </w:tcPr>
          <w:p>
            <w:pPr>
              <w:spacing w:after="0"/>
            </w:pPr>
            <w:r/>
            <w:r>
              <w:rPr>
                <w:b/>
                <w:sz w:val="17"/>
              </w:rPr>
              <w:t>Time</w:t>
            </w:r>
          </w:p>
        </w:tc>
        <w:tc>
          <w:tcPr>
            <w:tcW w:type="dxa" w:w="3312"/>
            <w:vAlign w:val="center"/>
            <w:shd w:fill="D9EAF7"/>
          </w:tcPr>
          <w:p>
            <w:pPr>
              <w:spacing w:after="0"/>
            </w:pPr>
            <w:r/>
            <w:r>
              <w:rPr>
                <w:b/>
                <w:sz w:val="17"/>
              </w:rPr>
              <w:t>Deliverable</w:t>
            </w:r>
          </w:p>
        </w:tc>
      </w:tr>
      <w:tr>
        <w:tc>
          <w:tcPr>
            <w:tcW w:type="dxa" w:w="3312"/>
            <w:vAlign w:val="center"/>
          </w:tcPr>
          <w:p>
            <w:pPr>
              <w:spacing w:after="0"/>
            </w:pPr>
            <w:r/>
            <w:r>
              <w:rPr>
                <w:b w:val="0"/>
                <w:sz w:val="17"/>
              </w:rPr>
              <w:t>1. Understand scope and define questions</w:t>
            </w:r>
          </w:p>
        </w:tc>
        <w:tc>
          <w:tcPr>
            <w:tcW w:type="dxa" w:w="3312"/>
            <w:vAlign w:val="center"/>
          </w:tcPr>
          <w:p>
            <w:pPr>
              <w:spacing w:after="0"/>
            </w:pPr>
            <w:r/>
            <w:r>
              <w:rPr>
                <w:b w:val="0"/>
                <w:sz w:val="17"/>
              </w:rPr>
              <w:t>3 hours</w:t>
            </w:r>
          </w:p>
        </w:tc>
        <w:tc>
          <w:tcPr>
            <w:tcW w:type="dxa" w:w="3312"/>
            <w:vAlign w:val="center"/>
          </w:tcPr>
          <w:p>
            <w:pPr>
              <w:spacing w:after="0"/>
            </w:pPr>
            <w:r/>
            <w:r>
              <w:rPr>
                <w:b w:val="0"/>
                <w:sz w:val="17"/>
              </w:rPr>
              <w:t>Service scope, evaluation questions, assumptions</w:t>
            </w:r>
          </w:p>
        </w:tc>
      </w:tr>
      <w:tr>
        <w:tc>
          <w:tcPr>
            <w:tcW w:type="dxa" w:w="3312"/>
            <w:vAlign w:val="center"/>
          </w:tcPr>
          <w:p>
            <w:pPr>
              <w:spacing w:after="0"/>
            </w:pPr>
            <w:r/>
            <w:r>
              <w:rPr>
                <w:b w:val="0"/>
                <w:sz w:val="17"/>
              </w:rPr>
              <w:t>2. Review data sources and metric definitions</w:t>
            </w:r>
          </w:p>
        </w:tc>
        <w:tc>
          <w:tcPr>
            <w:tcW w:type="dxa" w:w="3312"/>
            <w:vAlign w:val="center"/>
          </w:tcPr>
          <w:p>
            <w:pPr>
              <w:spacing w:after="0"/>
            </w:pPr>
            <w:r/>
            <w:r>
              <w:rPr>
                <w:b w:val="0"/>
                <w:sz w:val="17"/>
              </w:rPr>
              <w:t>4 hours</w:t>
            </w:r>
          </w:p>
        </w:tc>
        <w:tc>
          <w:tcPr>
            <w:tcW w:type="dxa" w:w="3312"/>
            <w:vAlign w:val="center"/>
          </w:tcPr>
          <w:p>
            <w:pPr>
              <w:spacing w:after="0"/>
            </w:pPr>
            <w:r/>
            <w:r>
              <w:rPr>
                <w:b w:val="0"/>
                <w:sz w:val="17"/>
              </w:rPr>
              <w:t>Metric dictionary and source map</w:t>
            </w:r>
          </w:p>
        </w:tc>
      </w:tr>
      <w:tr>
        <w:tc>
          <w:tcPr>
            <w:tcW w:type="dxa" w:w="3312"/>
            <w:vAlign w:val="center"/>
          </w:tcPr>
          <w:p>
            <w:pPr>
              <w:spacing w:after="0"/>
            </w:pPr>
            <w:r/>
            <w:r>
              <w:rPr>
                <w:b w:val="0"/>
                <w:sz w:val="17"/>
              </w:rPr>
              <w:t>3. Validate and preprocess available data</w:t>
            </w:r>
          </w:p>
        </w:tc>
        <w:tc>
          <w:tcPr>
            <w:tcW w:type="dxa" w:w="3312"/>
            <w:vAlign w:val="center"/>
          </w:tcPr>
          <w:p>
            <w:pPr>
              <w:spacing w:after="0"/>
            </w:pPr>
            <w:r/>
            <w:r>
              <w:rPr>
                <w:b w:val="0"/>
                <w:sz w:val="17"/>
              </w:rPr>
              <w:t>5 hours</w:t>
            </w:r>
          </w:p>
        </w:tc>
        <w:tc>
          <w:tcPr>
            <w:tcW w:type="dxa" w:w="3312"/>
            <w:vAlign w:val="center"/>
          </w:tcPr>
          <w:p>
            <w:pPr>
              <w:spacing w:after="0"/>
            </w:pPr>
            <w:r/>
            <w:r>
              <w:rPr>
                <w:b w:val="0"/>
                <w:sz w:val="17"/>
              </w:rPr>
              <w:t>Quality checks and documented exclusions</w:t>
            </w:r>
          </w:p>
        </w:tc>
      </w:tr>
      <w:tr>
        <w:tc>
          <w:tcPr>
            <w:tcW w:type="dxa" w:w="3312"/>
            <w:vAlign w:val="center"/>
          </w:tcPr>
          <w:p>
            <w:pPr>
              <w:spacing w:after="0"/>
            </w:pPr>
            <w:r/>
            <w:r>
              <w:rPr>
                <w:b w:val="0"/>
                <w:sz w:val="17"/>
              </w:rPr>
              <w:t>4. Calculate baseline indicators and descriptive summaries</w:t>
            </w:r>
          </w:p>
        </w:tc>
        <w:tc>
          <w:tcPr>
            <w:tcW w:type="dxa" w:w="3312"/>
            <w:vAlign w:val="center"/>
          </w:tcPr>
          <w:p>
            <w:pPr>
              <w:spacing w:after="0"/>
            </w:pPr>
            <w:r/>
            <w:r>
              <w:rPr>
                <w:b w:val="0"/>
                <w:sz w:val="17"/>
              </w:rPr>
              <w:t>6 hours</w:t>
            </w:r>
          </w:p>
        </w:tc>
        <w:tc>
          <w:tcPr>
            <w:tcW w:type="dxa" w:w="3312"/>
            <w:vAlign w:val="center"/>
          </w:tcPr>
          <w:p>
            <w:pPr>
              <w:spacing w:after="0"/>
            </w:pPr>
            <w:r/>
            <w:r>
              <w:rPr>
                <w:b w:val="0"/>
                <w:sz w:val="17"/>
              </w:rPr>
              <w:t>Baseline table and key trends</w:t>
            </w:r>
          </w:p>
        </w:tc>
      </w:tr>
      <w:tr>
        <w:tc>
          <w:tcPr>
            <w:tcW w:type="dxa" w:w="3312"/>
            <w:vAlign w:val="center"/>
          </w:tcPr>
          <w:p>
            <w:pPr>
              <w:spacing w:after="0"/>
            </w:pPr>
            <w:r/>
            <w:r>
              <w:rPr>
                <w:b w:val="0"/>
                <w:sz w:val="17"/>
              </w:rPr>
              <w:t>5. Apply relevant analysis techniques</w:t>
            </w:r>
          </w:p>
        </w:tc>
        <w:tc>
          <w:tcPr>
            <w:tcW w:type="dxa" w:w="3312"/>
            <w:vAlign w:val="center"/>
          </w:tcPr>
          <w:p>
            <w:pPr>
              <w:spacing w:after="0"/>
            </w:pPr>
            <w:r/>
            <w:r>
              <w:rPr>
                <w:b w:val="0"/>
                <w:sz w:val="17"/>
              </w:rPr>
              <w:t>5 hours</w:t>
            </w:r>
          </w:p>
        </w:tc>
        <w:tc>
          <w:tcPr>
            <w:tcW w:type="dxa" w:w="3312"/>
            <w:vAlign w:val="center"/>
          </w:tcPr>
          <w:p>
            <w:pPr>
              <w:spacing w:after="0"/>
            </w:pPr>
            <w:r/>
            <w:r>
              <w:rPr>
                <w:b w:val="0"/>
                <w:sz w:val="17"/>
              </w:rPr>
              <w:t>Segment comparisons and optional regression/classification/clustering if justified</w:t>
            </w:r>
          </w:p>
        </w:tc>
      </w:tr>
      <w:tr>
        <w:tc>
          <w:tcPr>
            <w:tcW w:type="dxa" w:w="3312"/>
            <w:vAlign w:val="center"/>
          </w:tcPr>
          <w:p>
            <w:pPr>
              <w:spacing w:after="0"/>
            </w:pPr>
            <w:r/>
            <w:r>
              <w:rPr>
                <w:b w:val="0"/>
                <w:sz w:val="17"/>
              </w:rPr>
              <w:t>6. Interpret results and develop recommendations</w:t>
            </w:r>
          </w:p>
        </w:tc>
        <w:tc>
          <w:tcPr>
            <w:tcW w:type="dxa" w:w="3312"/>
            <w:vAlign w:val="center"/>
          </w:tcPr>
          <w:p>
            <w:pPr>
              <w:spacing w:after="0"/>
            </w:pPr>
            <w:r/>
            <w:r>
              <w:rPr>
                <w:b w:val="0"/>
                <w:sz w:val="17"/>
              </w:rPr>
              <w:t>4 hours</w:t>
            </w:r>
          </w:p>
        </w:tc>
        <w:tc>
          <w:tcPr>
            <w:tcW w:type="dxa" w:w="3312"/>
            <w:vAlign w:val="center"/>
          </w:tcPr>
          <w:p>
            <w:pPr>
              <w:spacing w:after="0"/>
            </w:pPr>
            <w:r/>
            <w:r>
              <w:rPr>
                <w:b w:val="0"/>
                <w:sz w:val="17"/>
              </w:rPr>
              <w:t>Evidence-to-action matrix and priority ranking</w:t>
            </w:r>
          </w:p>
        </w:tc>
      </w:tr>
      <w:tr>
        <w:tc>
          <w:tcPr>
            <w:tcW w:type="dxa" w:w="3312"/>
            <w:vAlign w:val="center"/>
          </w:tcPr>
          <w:p>
            <w:pPr>
              <w:spacing w:after="0"/>
            </w:pPr>
            <w:r/>
            <w:r>
              <w:rPr>
                <w:b w:val="0"/>
                <w:sz w:val="17"/>
              </w:rPr>
              <w:t>7. Draft contingency plan and implementation timeline</w:t>
            </w:r>
          </w:p>
        </w:tc>
        <w:tc>
          <w:tcPr>
            <w:tcW w:type="dxa" w:w="3312"/>
            <w:vAlign w:val="center"/>
          </w:tcPr>
          <w:p>
            <w:pPr>
              <w:spacing w:after="0"/>
            </w:pPr>
            <w:r/>
            <w:r>
              <w:rPr>
                <w:b w:val="0"/>
                <w:sz w:val="17"/>
              </w:rPr>
              <w:t>2 hours</w:t>
            </w:r>
          </w:p>
        </w:tc>
        <w:tc>
          <w:tcPr>
            <w:tcW w:type="dxa" w:w="3312"/>
            <w:vAlign w:val="center"/>
          </w:tcPr>
          <w:p>
            <w:pPr>
              <w:spacing w:after="0"/>
            </w:pPr>
            <w:r/>
            <w:r>
              <w:rPr>
                <w:b w:val="0"/>
                <w:sz w:val="17"/>
              </w:rPr>
              <w:t>Risk register and response plan</w:t>
            </w:r>
          </w:p>
        </w:tc>
      </w:tr>
      <w:tr>
        <w:tc>
          <w:tcPr>
            <w:tcW w:type="dxa" w:w="3312"/>
            <w:vAlign w:val="center"/>
          </w:tcPr>
          <w:p>
            <w:pPr>
              <w:spacing w:after="0"/>
            </w:pPr>
            <w:r/>
            <w:r>
              <w:rPr>
                <w:b w:val="0"/>
                <w:sz w:val="17"/>
              </w:rPr>
              <w:t>8. Write, proofread, and format report</w:t>
            </w:r>
          </w:p>
        </w:tc>
        <w:tc>
          <w:tcPr>
            <w:tcW w:type="dxa" w:w="3312"/>
            <w:vAlign w:val="center"/>
          </w:tcPr>
          <w:p>
            <w:pPr>
              <w:spacing w:after="0"/>
            </w:pPr>
            <w:r/>
            <w:r>
              <w:rPr>
                <w:b w:val="0"/>
                <w:sz w:val="17"/>
              </w:rPr>
              <w:t>3 hours</w:t>
            </w:r>
          </w:p>
        </w:tc>
        <w:tc>
          <w:tcPr>
            <w:tcW w:type="dxa" w:w="3312"/>
            <w:vAlign w:val="center"/>
          </w:tcPr>
          <w:p>
            <w:pPr>
              <w:spacing w:after="0"/>
            </w:pPr>
            <w:r/>
            <w:r>
              <w:rPr>
                <w:b w:val="0"/>
                <w:sz w:val="17"/>
              </w:rPr>
              <w:t>Final report and quality check</w:t>
            </w:r>
          </w:p>
        </w:tc>
      </w:tr>
      <w:tr>
        <w:tc>
          <w:tcPr>
            <w:tcW w:type="dxa" w:w="3312"/>
            <w:vAlign w:val="center"/>
          </w:tcPr>
          <w:p>
            <w:pPr>
              <w:spacing w:after="0"/>
            </w:pPr>
            <w:r/>
            <w:r>
              <w:rPr>
                <w:b w:val="0"/>
                <w:sz w:val="17"/>
              </w:rPr>
              <w:t>Total</w:t>
            </w:r>
          </w:p>
        </w:tc>
        <w:tc>
          <w:tcPr>
            <w:tcW w:type="dxa" w:w="3312"/>
            <w:vAlign w:val="center"/>
          </w:tcPr>
          <w:p>
            <w:pPr>
              <w:spacing w:after="0"/>
            </w:pPr>
            <w:r/>
            <w:r>
              <w:rPr>
                <w:b w:val="0"/>
                <w:sz w:val="17"/>
              </w:rPr>
              <w:t>32 hours</w:t>
            </w:r>
          </w:p>
        </w:tc>
        <w:tc>
          <w:tcPr>
            <w:tcW w:type="dxa" w:w="3312"/>
            <w:vAlign w:val="center"/>
          </w:tcPr>
          <w:p>
            <w:pPr>
              <w:spacing w:after="0"/>
            </w:pPr>
            <w:r/>
            <w:r>
              <w:rPr>
                <w:b w:val="0"/>
                <w:sz w:val="17"/>
              </w:rPr>
              <w:t>Within the required 30–35-hour range</w:t>
            </w:r>
          </w:p>
        </w:tc>
      </w:tr>
    </w:tbl>
    <w:p/>
    <w:p>
      <w:pPr>
        <w:pStyle w:val="Heading1"/>
      </w:pPr>
      <w:r>
        <w:t>8. Contingency and Risk Management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sz w:val="15"/>
              </w:rPr>
              <w:t>Risk / trigger</w:t>
            </w:r>
          </w:p>
        </w:tc>
        <w:tc>
          <w:tcPr>
            <w:tcW w:type="dxa" w:w="2484"/>
            <w:vAlign w:val="center"/>
            <w:shd w:fill="D9EAF7"/>
          </w:tcPr>
          <w:p>
            <w:pPr>
              <w:spacing w:after="0"/>
            </w:pPr>
            <w:r/>
            <w:r>
              <w:rPr>
                <w:b/>
                <w:sz w:val="15"/>
              </w:rPr>
              <w:t>Potential impact</w:t>
            </w:r>
          </w:p>
        </w:tc>
        <w:tc>
          <w:tcPr>
            <w:tcW w:type="dxa" w:w="2484"/>
            <w:vAlign w:val="center"/>
            <w:shd w:fill="D9EAF7"/>
          </w:tcPr>
          <w:p>
            <w:pPr>
              <w:spacing w:after="0"/>
            </w:pPr>
            <w:r/>
            <w:r>
              <w:rPr>
                <w:b/>
                <w:sz w:val="15"/>
              </w:rPr>
              <w:t>Contingency response</w:t>
            </w:r>
          </w:p>
        </w:tc>
        <w:tc>
          <w:tcPr>
            <w:tcW w:type="dxa" w:w="2484"/>
            <w:vAlign w:val="center"/>
            <w:shd w:fill="D9EAF7"/>
          </w:tcPr>
          <w:p>
            <w:pPr>
              <w:spacing w:after="0"/>
            </w:pPr>
            <w:r/>
            <w:r>
              <w:rPr>
                <w:b/>
                <w:sz w:val="15"/>
              </w:rPr>
              <w:t>Owner</w:t>
            </w:r>
          </w:p>
        </w:tc>
      </w:tr>
      <w:tr>
        <w:tc>
          <w:tcPr>
            <w:tcW w:type="dxa" w:w="2484"/>
            <w:vAlign w:val="center"/>
          </w:tcPr>
          <w:p>
            <w:pPr>
              <w:spacing w:after="0"/>
            </w:pPr>
            <w:r/>
            <w:r>
              <w:rPr>
                <w:b w:val="0"/>
                <w:sz w:val="15"/>
              </w:rPr>
              <w:t>Incomplete or inconsistent data</w:t>
            </w:r>
          </w:p>
        </w:tc>
        <w:tc>
          <w:tcPr>
            <w:tcW w:type="dxa" w:w="2484"/>
            <w:vAlign w:val="center"/>
          </w:tcPr>
          <w:p>
            <w:pPr>
              <w:spacing w:after="0"/>
            </w:pPr>
            <w:r/>
            <w:r>
              <w:rPr>
                <w:b w:val="0"/>
                <w:sz w:val="15"/>
              </w:rPr>
              <w:t>Metrics may be misleading or not computable.</w:t>
            </w:r>
          </w:p>
        </w:tc>
        <w:tc>
          <w:tcPr>
            <w:tcW w:type="dxa" w:w="2484"/>
            <w:vAlign w:val="center"/>
          </w:tcPr>
          <w:p>
            <w:pPr>
              <w:spacing w:after="0"/>
            </w:pPr>
            <w:r/>
            <w:r>
              <w:rPr>
                <w:b w:val="0"/>
                <w:sz w:val="15"/>
              </w:rPr>
              <w:t>Use a data-quality checklist; document missingness; validate a sample with source owners; report confidence limits and caveats; avoid presenting estimates as verified facts.</w:t>
            </w:r>
          </w:p>
        </w:tc>
        <w:tc>
          <w:tcPr>
            <w:tcW w:type="dxa" w:w="2484"/>
            <w:vAlign w:val="center"/>
          </w:tcPr>
          <w:p>
            <w:pPr>
              <w:spacing w:after="0"/>
            </w:pPr>
            <w:r/>
            <w:r>
              <w:rPr>
                <w:b w:val="0"/>
                <w:sz w:val="15"/>
              </w:rPr>
              <w:t>Data analyst / data steward</w:t>
            </w:r>
          </w:p>
        </w:tc>
      </w:tr>
      <w:tr>
        <w:tc>
          <w:tcPr>
            <w:tcW w:type="dxa" w:w="2484"/>
            <w:vAlign w:val="center"/>
          </w:tcPr>
          <w:p>
            <w:pPr>
              <w:spacing w:after="0"/>
            </w:pPr>
            <w:r/>
            <w:r>
              <w:rPr>
                <w:b w:val="0"/>
                <w:sz w:val="15"/>
              </w:rPr>
              <w:t>Low survey response or feedback bias</w:t>
            </w:r>
          </w:p>
        </w:tc>
        <w:tc>
          <w:tcPr>
            <w:tcW w:type="dxa" w:w="2484"/>
            <w:vAlign w:val="center"/>
          </w:tcPr>
          <w:p>
            <w:pPr>
              <w:spacing w:after="0"/>
            </w:pPr>
            <w:r/>
            <w:r>
              <w:rPr>
                <w:b w:val="0"/>
                <w:sz w:val="15"/>
              </w:rPr>
              <w:t>Feedback may overrepresent highly satisfied or dissatisfied users.</w:t>
            </w:r>
          </w:p>
        </w:tc>
        <w:tc>
          <w:tcPr>
            <w:tcW w:type="dxa" w:w="2484"/>
            <w:vAlign w:val="center"/>
          </w:tcPr>
          <w:p>
            <w:pPr>
              <w:spacing w:after="0"/>
            </w:pPr>
            <w:r/>
            <w:r>
              <w:rPr>
                <w:b w:val="0"/>
                <w:sz w:val="15"/>
              </w:rPr>
              <w:t>Use short accessible surveys across channels; compare respondents with service population where lawful; supplement with interviews and behavioral metrics.</w:t>
            </w:r>
          </w:p>
        </w:tc>
        <w:tc>
          <w:tcPr>
            <w:tcW w:type="dxa" w:w="2484"/>
            <w:vAlign w:val="center"/>
          </w:tcPr>
          <w:p>
            <w:pPr>
              <w:spacing w:after="0"/>
            </w:pPr>
            <w:r/>
            <w:r>
              <w:rPr>
                <w:b w:val="0"/>
                <w:sz w:val="15"/>
              </w:rPr>
              <w:t>Research / service team</w:t>
            </w:r>
          </w:p>
        </w:tc>
      </w:tr>
      <w:tr>
        <w:tc>
          <w:tcPr>
            <w:tcW w:type="dxa" w:w="2484"/>
            <w:vAlign w:val="center"/>
          </w:tcPr>
          <w:p>
            <w:pPr>
              <w:spacing w:after="0"/>
            </w:pPr>
            <w:r/>
            <w:r>
              <w:rPr>
                <w:b w:val="0"/>
                <w:sz w:val="15"/>
              </w:rPr>
              <w:t>Unexpected rise in demand</w:t>
            </w:r>
          </w:p>
        </w:tc>
        <w:tc>
          <w:tcPr>
            <w:tcW w:type="dxa" w:w="2484"/>
            <w:vAlign w:val="center"/>
          </w:tcPr>
          <w:p>
            <w:pPr>
              <w:spacing w:after="0"/>
            </w:pPr>
            <w:r/>
            <w:r>
              <w:rPr>
                <w:b w:val="0"/>
                <w:sz w:val="15"/>
              </w:rPr>
              <w:t>Slow response times or outages.</w:t>
            </w:r>
          </w:p>
        </w:tc>
        <w:tc>
          <w:tcPr>
            <w:tcW w:type="dxa" w:w="2484"/>
            <w:vAlign w:val="center"/>
          </w:tcPr>
          <w:p>
            <w:pPr>
              <w:spacing w:after="0"/>
            </w:pPr>
            <w:r/>
            <w:r>
              <w:rPr>
                <w:b w:val="0"/>
                <w:sz w:val="15"/>
              </w:rPr>
              <w:t>Monitor load and queue length; publish service notices; use queue management and escalation; prioritize urgent cases according to approved policy.</w:t>
            </w:r>
          </w:p>
        </w:tc>
        <w:tc>
          <w:tcPr>
            <w:tcW w:type="dxa" w:w="2484"/>
            <w:vAlign w:val="center"/>
          </w:tcPr>
          <w:p>
            <w:pPr>
              <w:spacing w:after="0"/>
            </w:pPr>
            <w:r/>
            <w:r>
              <w:rPr>
                <w:b w:val="0"/>
                <w:sz w:val="15"/>
              </w:rPr>
              <w:t>IT operations / service owner</w:t>
            </w:r>
          </w:p>
        </w:tc>
      </w:tr>
      <w:tr>
        <w:tc>
          <w:tcPr>
            <w:tcW w:type="dxa" w:w="2484"/>
            <w:vAlign w:val="center"/>
          </w:tcPr>
          <w:p>
            <w:pPr>
              <w:spacing w:after="0"/>
            </w:pPr>
            <w:r/>
            <w:r>
              <w:rPr>
                <w:b w:val="0"/>
                <w:sz w:val="15"/>
              </w:rPr>
              <w:t>New release causes failures</w:t>
            </w:r>
          </w:p>
        </w:tc>
        <w:tc>
          <w:tcPr>
            <w:tcW w:type="dxa" w:w="2484"/>
            <w:vAlign w:val="center"/>
          </w:tcPr>
          <w:p>
            <w:pPr>
              <w:spacing w:after="0"/>
            </w:pPr>
            <w:r/>
            <w:r>
              <w:rPr>
                <w:b w:val="0"/>
                <w:sz w:val="15"/>
              </w:rPr>
              <w:t>Users cannot complete core tasks.</w:t>
            </w:r>
          </w:p>
        </w:tc>
        <w:tc>
          <w:tcPr>
            <w:tcW w:type="dxa" w:w="2484"/>
            <w:vAlign w:val="center"/>
          </w:tcPr>
          <w:p>
            <w:pPr>
              <w:spacing w:after="0"/>
            </w:pPr>
            <w:r/>
            <w:r>
              <w:rPr>
                <w:b w:val="0"/>
                <w:sz w:val="15"/>
              </w:rPr>
              <w:t>Use staged rollout, pre-release testing, backup and rollback plan, monitoring, and a named incident lead.</w:t>
            </w:r>
          </w:p>
        </w:tc>
        <w:tc>
          <w:tcPr>
            <w:tcW w:type="dxa" w:w="2484"/>
            <w:vAlign w:val="center"/>
          </w:tcPr>
          <w:p>
            <w:pPr>
              <w:spacing w:after="0"/>
            </w:pPr>
            <w:r/>
            <w:r>
              <w:rPr>
                <w:b w:val="0"/>
                <w:sz w:val="15"/>
              </w:rPr>
              <w:t>Technical lead</w:t>
            </w:r>
          </w:p>
        </w:tc>
      </w:tr>
      <w:tr>
        <w:tc>
          <w:tcPr>
            <w:tcW w:type="dxa" w:w="2484"/>
            <w:vAlign w:val="center"/>
          </w:tcPr>
          <w:p>
            <w:pPr>
              <w:spacing w:after="0"/>
            </w:pPr>
            <w:r/>
            <w:r>
              <w:rPr>
                <w:b w:val="0"/>
                <w:sz w:val="15"/>
              </w:rPr>
              <w:t>Accessibility barrier remains unresolved</w:t>
            </w:r>
          </w:p>
        </w:tc>
        <w:tc>
          <w:tcPr>
            <w:tcW w:type="dxa" w:w="2484"/>
            <w:vAlign w:val="center"/>
          </w:tcPr>
          <w:p>
            <w:pPr>
              <w:spacing w:after="0"/>
            </w:pPr>
            <w:r/>
            <w:r>
              <w:rPr>
                <w:b w:val="0"/>
                <w:sz w:val="15"/>
              </w:rPr>
              <w:t>Some citizens are unable to use the digital channel.</w:t>
            </w:r>
          </w:p>
        </w:tc>
        <w:tc>
          <w:tcPr>
            <w:tcW w:type="dxa" w:w="2484"/>
            <w:vAlign w:val="center"/>
          </w:tcPr>
          <w:p>
            <w:pPr>
              <w:spacing w:after="0"/>
            </w:pPr>
            <w:r/>
            <w:r>
              <w:rPr>
                <w:b w:val="0"/>
                <w:sz w:val="15"/>
              </w:rPr>
              <w:t>Keep assisted and alternative channels available; prioritize critical barriers; test fixes with users with relevant access needs.</w:t>
            </w:r>
          </w:p>
        </w:tc>
        <w:tc>
          <w:tcPr>
            <w:tcW w:type="dxa" w:w="2484"/>
            <w:vAlign w:val="center"/>
          </w:tcPr>
          <w:p>
            <w:pPr>
              <w:spacing w:after="0"/>
            </w:pPr>
            <w:r/>
            <w:r>
              <w:rPr>
                <w:b w:val="0"/>
                <w:sz w:val="15"/>
              </w:rPr>
              <w:t>Accessibility lead / department</w:t>
            </w:r>
          </w:p>
        </w:tc>
      </w:tr>
      <w:tr>
        <w:tc>
          <w:tcPr>
            <w:tcW w:type="dxa" w:w="2484"/>
            <w:vAlign w:val="center"/>
          </w:tcPr>
          <w:p>
            <w:pPr>
              <w:spacing w:after="0"/>
            </w:pPr>
            <w:r/>
            <w:r>
              <w:rPr>
                <w:b w:val="0"/>
                <w:sz w:val="15"/>
              </w:rPr>
              <w:t>Privacy or security incident</w:t>
            </w:r>
          </w:p>
        </w:tc>
        <w:tc>
          <w:tcPr>
            <w:tcW w:type="dxa" w:w="2484"/>
            <w:vAlign w:val="center"/>
          </w:tcPr>
          <w:p>
            <w:pPr>
              <w:spacing w:after="0"/>
            </w:pPr>
            <w:r/>
            <w:r>
              <w:rPr>
                <w:b w:val="0"/>
                <w:sz w:val="15"/>
              </w:rPr>
              <w:t>Loss of trust, exposure of personal data, or service interruption.</w:t>
            </w:r>
          </w:p>
        </w:tc>
        <w:tc>
          <w:tcPr>
            <w:tcW w:type="dxa" w:w="2484"/>
            <w:vAlign w:val="center"/>
          </w:tcPr>
          <w:p>
            <w:pPr>
              <w:spacing w:after="0"/>
            </w:pPr>
            <w:r/>
            <w:r>
              <w:rPr>
                <w:b w:val="0"/>
                <w:sz w:val="15"/>
              </w:rPr>
              <w:t>Follow the organization’s incident-response process; restrict affected access, preserve logs, notify responsible officials, and meet applicable reporting obligations.</w:t>
            </w:r>
          </w:p>
        </w:tc>
        <w:tc>
          <w:tcPr>
            <w:tcW w:type="dxa" w:w="2484"/>
            <w:vAlign w:val="center"/>
          </w:tcPr>
          <w:p>
            <w:pPr>
              <w:spacing w:after="0"/>
            </w:pPr>
            <w:r/>
            <w:r>
              <w:rPr>
                <w:b w:val="0"/>
                <w:sz w:val="15"/>
              </w:rPr>
              <w:t>Security/privacy lead</w:t>
            </w:r>
          </w:p>
        </w:tc>
      </w:tr>
      <w:tr>
        <w:tc>
          <w:tcPr>
            <w:tcW w:type="dxa" w:w="2484"/>
            <w:vAlign w:val="center"/>
          </w:tcPr>
          <w:p>
            <w:pPr>
              <w:spacing w:after="0"/>
            </w:pPr>
            <w:r/>
            <w:r>
              <w:rPr>
                <w:b w:val="0"/>
                <w:sz w:val="15"/>
              </w:rPr>
              <w:t>Recommendation exceeds budget or authority</w:t>
            </w:r>
          </w:p>
        </w:tc>
        <w:tc>
          <w:tcPr>
            <w:tcW w:type="dxa" w:w="2484"/>
            <w:vAlign w:val="center"/>
          </w:tcPr>
          <w:p>
            <w:pPr>
              <w:spacing w:after="0"/>
            </w:pPr>
            <w:r/>
            <w:r>
              <w:rPr>
                <w:b w:val="0"/>
                <w:sz w:val="15"/>
              </w:rPr>
              <w:t>Implementation stalls.</w:t>
            </w:r>
          </w:p>
        </w:tc>
        <w:tc>
          <w:tcPr>
            <w:tcW w:type="dxa" w:w="2484"/>
            <w:vAlign w:val="center"/>
          </w:tcPr>
          <w:p>
            <w:pPr>
              <w:spacing w:after="0"/>
            </w:pPr>
            <w:r/>
            <w:r>
              <w:rPr>
                <w:b w:val="0"/>
                <w:sz w:val="15"/>
              </w:rPr>
              <w:t>Split into no-cost, low-cost, and capital-dependent actions; pilot feasible changes; seek approval and record dependencies.</w:t>
            </w:r>
          </w:p>
        </w:tc>
        <w:tc>
          <w:tcPr>
            <w:tcW w:type="dxa" w:w="2484"/>
            <w:vAlign w:val="center"/>
          </w:tcPr>
          <w:p>
            <w:pPr>
              <w:spacing w:after="0"/>
            </w:pPr>
            <w:r/>
            <w:r>
              <w:rPr>
                <w:b w:val="0"/>
                <w:sz w:val="15"/>
              </w:rPr>
              <w:t>Department leadership</w:t>
            </w:r>
          </w:p>
        </w:tc>
      </w:tr>
      <w:tr>
        <w:tc>
          <w:tcPr>
            <w:tcW w:type="dxa" w:w="2484"/>
            <w:vAlign w:val="center"/>
          </w:tcPr>
          <w:p>
            <w:pPr>
              <w:spacing w:after="0"/>
            </w:pPr>
            <w:r/>
            <w:r>
              <w:rPr>
                <w:b w:val="0"/>
                <w:sz w:val="15"/>
              </w:rPr>
              <w:t>Metric improves while user outcomes worsen</w:t>
            </w:r>
          </w:p>
        </w:tc>
        <w:tc>
          <w:tcPr>
            <w:tcW w:type="dxa" w:w="2484"/>
            <w:vAlign w:val="center"/>
          </w:tcPr>
          <w:p>
            <w:pPr>
              <w:spacing w:after="0"/>
            </w:pPr>
            <w:r/>
            <w:r>
              <w:rPr>
                <w:b w:val="0"/>
                <w:sz w:val="15"/>
              </w:rPr>
              <w:t>Optimization may shift burden to citizens or exclude complex cases.</w:t>
            </w:r>
          </w:p>
        </w:tc>
        <w:tc>
          <w:tcPr>
            <w:tcW w:type="dxa" w:w="2484"/>
            <w:vAlign w:val="center"/>
          </w:tcPr>
          <w:p>
            <w:pPr>
              <w:spacing w:after="0"/>
            </w:pPr>
            <w:r/>
            <w:r>
              <w:rPr>
                <w:b w:val="0"/>
                <w:sz w:val="15"/>
              </w:rPr>
              <w:t>Use guardrail metrics, audit exceptions, segment results, and review citizen feedback before declaring success.</w:t>
            </w:r>
          </w:p>
        </w:tc>
        <w:tc>
          <w:tcPr>
            <w:tcW w:type="dxa" w:w="2484"/>
            <w:vAlign w:val="center"/>
          </w:tcPr>
          <w:p>
            <w:pPr>
              <w:spacing w:after="0"/>
            </w:pPr>
            <w:r/>
            <w:r>
              <w:rPr>
                <w:b w:val="0"/>
                <w:sz w:val="15"/>
              </w:rPr>
              <w:t>Service owner / analyst</w:t>
            </w:r>
          </w:p>
        </w:tc>
      </w:tr>
    </w:tbl>
    <w:p/>
    <w:p>
      <w:pPr>
        <w:pStyle w:val="Heading1"/>
      </w:pPr>
      <w:r>
        <w:t>9. Monitoring, Reporting, and Accountability</w:t>
      </w:r>
    </w:p>
    <w:p>
      <w:r>
        <w:t>A recurring review should translate the scorecard into decisions. Operational indicators such as availability and failed transactions should be checked daily or weekly. Completion, processing time, grievances, and satisfaction should normally be reviewed monthly. Accessibility, inclusion, privacy governance, and outcome gaps should be reviewed periodically and after major changes.</w:t>
      </w:r>
    </w:p>
    <w:p>
      <w:pPr>
        <w:pStyle w:val="ListBullet"/>
      </w:pPr>
      <w:r>
        <w:t>Assign one accountable owner to each metric and recommendation.</w:t>
      </w:r>
    </w:p>
    <w:p>
      <w:pPr>
        <w:pStyle w:val="ListBullet"/>
      </w:pPr>
      <w:r>
        <w:t>Display current value, baseline, target, trend, reporting period, data coverage, and action status.</w:t>
      </w:r>
    </w:p>
    <w:p>
      <w:pPr>
        <w:pStyle w:val="ListBullet"/>
      </w:pPr>
      <w:r>
        <w:t>Record decisions, owners, due dates, and reasons for accepting or rejecting recommendations.</w:t>
      </w:r>
    </w:p>
    <w:p>
      <w:pPr>
        <w:pStyle w:val="ListBullet"/>
      </w:pPr>
      <w:r>
        <w:t>Recalculate metrics consistently; if a definition changes, document the change and avoid invalid comparisons.</w:t>
      </w:r>
    </w:p>
    <w:p>
      <w:pPr>
        <w:pStyle w:val="ListBullet"/>
      </w:pPr>
      <w:r>
        <w:t>Review guardrail indicators so that speed or cost improvements do not reduce quality, accessibility, fairness, or privacy.</w:t>
      </w:r>
    </w:p>
    <w:p>
      <w:pPr>
        <w:pStyle w:val="ListBullet"/>
      </w:pPr>
      <w:r>
        <w:t>Communicate findings in plain language to administrators and, where appropriate, the public.</w:t>
      </w:r>
    </w:p>
    <w:p>
      <w:pPr>
        <w:pStyle w:val="Heading1"/>
      </w:pPr>
      <w:r>
        <w:t>10. Limitations and Ethical Considerations</w:t>
      </w:r>
    </w:p>
    <w:p>
      <w:r>
        <w:t>Administrative data may omit citizens who abandon a process before login or use offline channels. Survey responses can be biased, and system logs may not explain why a user failed. A change in service demand, policy, staffing, or seasonality can affect results independently of a digital improvement. Regression and other analytical models identify patterns under assumptions; they do not automatically establish causation. Evaluation should therefore combine multiple sources, disclose uncertainty, and use pilots or comparison designs where feasible.</w:t>
      </w:r>
    </w:p>
    <w:p>
      <w:r>
        <w:t>Only collect data needed for a defined purpose. Avoid unnecessary personal identifiers, protect sensitive records, limit access to authorized staff, and report aggregated results. Any automated classification or prioritization should be explainable, tested for disparate error rates where appropriate, and subject to human review. Digital channels should complement—not silently eliminate—reasonable assisted alternatives for citizens who cannot use them.</w:t>
      </w:r>
    </w:p>
    <w:p>
      <w:pPr>
        <w:pStyle w:val="Heading1"/>
      </w:pPr>
      <w:r>
        <w:t>11. Conclusion</w:t>
      </w:r>
    </w:p>
    <w:p>
      <w:r>
        <w:t>A strong e-governance evaluation system measures more than transaction volume. It considers whether citizens can complete tasks, how long services take, whether information and decisions are transparent, whether systems are reliable, and whether different users can access services fairly. By defining metrics clearly, validating data, integrating analytical findings with citizen feedback, and assigning owners to practical recommendations, departments can make evidence-based improvements. A phased plan, regular scorecard reviews, and contingency procedures make the approach feasible and resilient. The next step is to calculate the proposed baseline indicators using the actual dataset, confirm targets with service owners, and monitor whether implemented changes improve outcomes without creating new barriers.</w:t>
      </w:r>
    </w:p>
    <w:p>
      <w:pPr>
        <w:pStyle w:val="Heading1"/>
      </w:pPr>
      <w:r>
        <w:t>Appendix A: Metric Dictionary Template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sz w:val="17"/>
              </w:rPr>
              <w:t>Field</w:t>
            </w:r>
          </w:p>
        </w:tc>
        <w:tc>
          <w:tcPr>
            <w:tcW w:type="dxa" w:w="4968"/>
            <w:vAlign w:val="center"/>
            <w:shd w:fill="D9EAF7"/>
          </w:tcPr>
          <w:p>
            <w:pPr>
              <w:spacing w:after="0"/>
            </w:pPr>
            <w:r/>
            <w:r>
              <w:rPr>
                <w:b/>
                <w:sz w:val="17"/>
              </w:rPr>
              <w:t>What to record</w:t>
            </w:r>
          </w:p>
        </w:tc>
      </w:tr>
      <w:tr>
        <w:tc>
          <w:tcPr>
            <w:tcW w:type="dxa" w:w="4968"/>
            <w:vAlign w:val="center"/>
          </w:tcPr>
          <w:p>
            <w:pPr>
              <w:spacing w:after="0"/>
            </w:pPr>
            <w:r/>
            <w:r>
              <w:rPr>
                <w:b w:val="0"/>
                <w:sz w:val="17"/>
              </w:rPr>
              <w:t>Metric name and purpose</w:t>
            </w:r>
          </w:p>
        </w:tc>
        <w:tc>
          <w:tcPr>
            <w:tcW w:type="dxa" w:w="4968"/>
            <w:vAlign w:val="center"/>
          </w:tcPr>
          <w:p>
            <w:pPr>
              <w:spacing w:after="0"/>
            </w:pPr>
            <w:r/>
            <w:r>
              <w:rPr>
                <w:b w:val="0"/>
                <w:sz w:val="17"/>
              </w:rPr>
              <w:t>Name and the service question it answers</w:t>
            </w:r>
          </w:p>
        </w:tc>
      </w:tr>
      <w:tr>
        <w:tc>
          <w:tcPr>
            <w:tcW w:type="dxa" w:w="4968"/>
            <w:vAlign w:val="center"/>
          </w:tcPr>
          <w:p>
            <w:pPr>
              <w:spacing w:after="0"/>
            </w:pPr>
            <w:r/>
            <w:r>
              <w:rPr>
                <w:b w:val="0"/>
                <w:sz w:val="17"/>
              </w:rPr>
              <w:t>Definition / formula</w:t>
            </w:r>
          </w:p>
        </w:tc>
        <w:tc>
          <w:tcPr>
            <w:tcW w:type="dxa" w:w="4968"/>
            <w:vAlign w:val="center"/>
          </w:tcPr>
          <w:p>
            <w:pPr>
              <w:spacing w:after="0"/>
            </w:pPr>
            <w:r/>
            <w:r>
              <w:rPr>
                <w:b w:val="0"/>
                <w:sz w:val="17"/>
              </w:rPr>
              <w:t>Exact numerator, denominator, unit, and calculation rules</w:t>
            </w:r>
          </w:p>
        </w:tc>
      </w:tr>
      <w:tr>
        <w:tc>
          <w:tcPr>
            <w:tcW w:type="dxa" w:w="4968"/>
            <w:vAlign w:val="center"/>
          </w:tcPr>
          <w:p>
            <w:pPr>
              <w:spacing w:after="0"/>
            </w:pPr>
            <w:r/>
            <w:r>
              <w:rPr>
                <w:b w:val="0"/>
                <w:sz w:val="17"/>
              </w:rPr>
              <w:t>Data source and owner</w:t>
            </w:r>
          </w:p>
        </w:tc>
        <w:tc>
          <w:tcPr>
            <w:tcW w:type="dxa" w:w="4968"/>
            <w:vAlign w:val="center"/>
          </w:tcPr>
          <w:p>
            <w:pPr>
              <w:spacing w:after="0"/>
            </w:pPr>
            <w:r/>
            <w:r>
              <w:rPr>
                <w:b w:val="0"/>
                <w:sz w:val="17"/>
              </w:rPr>
              <w:t>System/table/report, responsible data owner, and access method</w:t>
            </w:r>
          </w:p>
        </w:tc>
      </w:tr>
      <w:tr>
        <w:tc>
          <w:tcPr>
            <w:tcW w:type="dxa" w:w="4968"/>
            <w:vAlign w:val="center"/>
          </w:tcPr>
          <w:p>
            <w:pPr>
              <w:spacing w:after="0"/>
            </w:pPr>
            <w:r/>
            <w:r>
              <w:rPr>
                <w:b w:val="0"/>
                <w:sz w:val="17"/>
              </w:rPr>
              <w:t>Population and period</w:t>
            </w:r>
          </w:p>
        </w:tc>
        <w:tc>
          <w:tcPr>
            <w:tcW w:type="dxa" w:w="4968"/>
            <w:vAlign w:val="center"/>
          </w:tcPr>
          <w:p>
            <w:pPr>
              <w:spacing w:after="0"/>
            </w:pPr>
            <w:r/>
            <w:r>
              <w:rPr>
                <w:b w:val="0"/>
                <w:sz w:val="17"/>
              </w:rPr>
              <w:t>Included services/cases, start and end dates, exclusions</w:t>
            </w:r>
          </w:p>
        </w:tc>
      </w:tr>
      <w:tr>
        <w:tc>
          <w:tcPr>
            <w:tcW w:type="dxa" w:w="4968"/>
            <w:vAlign w:val="center"/>
          </w:tcPr>
          <w:p>
            <w:pPr>
              <w:spacing w:after="0"/>
            </w:pPr>
            <w:r/>
            <w:r>
              <w:rPr>
                <w:b w:val="0"/>
                <w:sz w:val="17"/>
              </w:rPr>
              <w:t>Baseline / target</w:t>
            </w:r>
          </w:p>
        </w:tc>
        <w:tc>
          <w:tcPr>
            <w:tcW w:type="dxa" w:w="4968"/>
            <w:vAlign w:val="center"/>
          </w:tcPr>
          <w:p>
            <w:pPr>
              <w:spacing w:after="0"/>
            </w:pPr>
            <w:r/>
            <w:r>
              <w:rPr>
                <w:b w:val="0"/>
                <w:sz w:val="17"/>
              </w:rPr>
              <w:t>Verified baseline, agreed target, rationale, and due date</w:t>
            </w:r>
          </w:p>
        </w:tc>
      </w:tr>
      <w:tr>
        <w:tc>
          <w:tcPr>
            <w:tcW w:type="dxa" w:w="4968"/>
            <w:vAlign w:val="center"/>
          </w:tcPr>
          <w:p>
            <w:pPr>
              <w:spacing w:after="0"/>
            </w:pPr>
            <w:r/>
            <w:r>
              <w:rPr>
                <w:b w:val="0"/>
                <w:sz w:val="17"/>
              </w:rPr>
              <w:t>Frequency and segmentation</w:t>
            </w:r>
          </w:p>
        </w:tc>
        <w:tc>
          <w:tcPr>
            <w:tcW w:type="dxa" w:w="4968"/>
            <w:vAlign w:val="center"/>
          </w:tcPr>
          <w:p>
            <w:pPr>
              <w:spacing w:after="0"/>
            </w:pPr>
            <w:r/>
            <w:r>
              <w:rPr>
                <w:b w:val="0"/>
                <w:sz w:val="17"/>
              </w:rPr>
              <w:t>Refresh schedule and appropriate breakdowns</w:t>
            </w:r>
          </w:p>
        </w:tc>
      </w:tr>
      <w:tr>
        <w:tc>
          <w:tcPr>
            <w:tcW w:type="dxa" w:w="4968"/>
            <w:vAlign w:val="center"/>
          </w:tcPr>
          <w:p>
            <w:pPr>
              <w:spacing w:after="0"/>
            </w:pPr>
            <w:r/>
            <w:r>
              <w:rPr>
                <w:b w:val="0"/>
                <w:sz w:val="17"/>
              </w:rPr>
              <w:t>Quality checks</w:t>
            </w:r>
          </w:p>
        </w:tc>
        <w:tc>
          <w:tcPr>
            <w:tcW w:type="dxa" w:w="4968"/>
            <w:vAlign w:val="center"/>
          </w:tcPr>
          <w:p>
            <w:pPr>
              <w:spacing w:after="0"/>
            </w:pPr>
            <w:r/>
            <w:r>
              <w:rPr>
                <w:b w:val="0"/>
                <w:sz w:val="17"/>
              </w:rPr>
              <w:t>Missing values, duplicates, outliers, validation and known limitations</w:t>
            </w:r>
          </w:p>
        </w:tc>
      </w:tr>
      <w:tr>
        <w:tc>
          <w:tcPr>
            <w:tcW w:type="dxa" w:w="4968"/>
            <w:vAlign w:val="center"/>
          </w:tcPr>
          <w:p>
            <w:pPr>
              <w:spacing w:after="0"/>
            </w:pPr>
            <w:r/>
            <w:r>
              <w:rPr>
                <w:b w:val="0"/>
                <w:sz w:val="17"/>
              </w:rPr>
              <w:t>Interpretation / action</w:t>
            </w:r>
          </w:p>
        </w:tc>
        <w:tc>
          <w:tcPr>
            <w:tcW w:type="dxa" w:w="4968"/>
            <w:vAlign w:val="center"/>
          </w:tcPr>
          <w:p>
            <w:pPr>
              <w:spacing w:after="0"/>
            </w:pPr>
            <w:r/>
            <w:r>
              <w:rPr>
                <w:b w:val="0"/>
                <w:sz w:val="17"/>
              </w:rPr>
              <w:t>What good or poor performance means and what action follows</w:t>
            </w:r>
          </w:p>
        </w:tc>
      </w:tr>
    </w:tbl>
    <w:p/>
    <w:p>
      <w:pPr>
        <w:pStyle w:val="Heading1"/>
      </w:pPr>
      <w:r>
        <w:t>Appendix B: Suggested Final Results Table</w:t>
      </w:r>
    </w:p>
    <w:p>
      <w:r>
        <w:t>Complete this table after running the analysis on the actual dataset. Do not insert invented figures. If an indicator cannot be calculated, state the missing field or data limitation and recommend how to capture it in future.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
              <w:rPr>
                <w:b/>
                <w:sz w:val="16"/>
              </w:rPr>
              <w:t>Metric</w:t>
            </w:r>
          </w:p>
        </w:tc>
        <w:tc>
          <w:tcPr>
            <w:tcW w:type="dxa" w:w="1656"/>
            <w:vAlign w:val="center"/>
            <w:shd w:fill="D9EAF7"/>
          </w:tcPr>
          <w:p>
            <w:pPr>
              <w:spacing w:after="0"/>
            </w:pPr>
            <w:r/>
            <w:r>
              <w:rPr>
                <w:b/>
                <w:sz w:val="16"/>
              </w:rPr>
              <w:t>Baseline</w:t>
            </w:r>
          </w:p>
        </w:tc>
        <w:tc>
          <w:tcPr>
            <w:tcW w:type="dxa" w:w="1656"/>
            <w:vAlign w:val="center"/>
            <w:shd w:fill="D9EAF7"/>
          </w:tcPr>
          <w:p>
            <w:pPr>
              <w:spacing w:after="0"/>
            </w:pPr>
            <w:r/>
            <w:r>
              <w:rPr>
                <w:b/>
                <w:sz w:val="16"/>
              </w:rPr>
              <w:t>Target</w:t>
            </w:r>
          </w:p>
        </w:tc>
        <w:tc>
          <w:tcPr>
            <w:tcW w:type="dxa" w:w="1656"/>
            <w:vAlign w:val="center"/>
            <w:shd w:fill="D9EAF7"/>
          </w:tcPr>
          <w:p>
            <w:pPr>
              <w:spacing w:after="0"/>
            </w:pPr>
            <w:r/>
            <w:r>
              <w:rPr>
                <w:b/>
                <w:sz w:val="16"/>
              </w:rPr>
              <w:t>Observed result</w:t>
            </w:r>
          </w:p>
        </w:tc>
        <w:tc>
          <w:tcPr>
            <w:tcW w:type="dxa" w:w="1656"/>
            <w:vAlign w:val="center"/>
            <w:shd w:fill="D9EAF7"/>
          </w:tcPr>
          <w:p>
            <w:pPr>
              <w:spacing w:after="0"/>
            </w:pPr>
            <w:r/>
            <w:r>
              <w:rPr>
                <w:b/>
                <w:sz w:val="16"/>
              </w:rPr>
              <w:t>Interpretation</w:t>
            </w:r>
          </w:p>
        </w:tc>
        <w:tc>
          <w:tcPr>
            <w:tcW w:type="dxa" w:w="1656"/>
            <w:vAlign w:val="center"/>
            <w:shd w:fill="D9EAF7"/>
          </w:tcPr>
          <w:p>
            <w:pPr>
              <w:spacing w:after="0"/>
            </w:pPr>
            <w:r/>
            <w:r>
              <w:rPr>
                <w:b/>
                <w:sz w:val="16"/>
              </w:rPr>
              <w:t>Action / owner</w:t>
            </w:r>
          </w:p>
        </w:tc>
      </w:tr>
      <w:tr>
        <w:tc>
          <w:tcPr>
            <w:tcW w:type="dxa" w:w="1656"/>
            <w:vAlign w:val="center"/>
          </w:tcPr>
          <w:p>
            <w:pPr>
              <w:spacing w:after="0"/>
            </w:pPr>
            <w:r/>
            <w:r>
              <w:rPr>
                <w:b w:val="0"/>
                <w:sz w:val="16"/>
              </w:rPr>
              <w:t>Completion rate</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Set with owner</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Identify drop-off pattern</w:t>
            </w:r>
          </w:p>
        </w:tc>
        <w:tc>
          <w:tcPr>
            <w:tcW w:type="dxa" w:w="1656"/>
            <w:vAlign w:val="center"/>
          </w:tcPr>
          <w:p>
            <w:pPr>
              <w:spacing w:after="0"/>
            </w:pPr>
            <w:r/>
            <w:r>
              <w:rPr>
                <w:b w:val="0"/>
                <w:sz w:val="16"/>
              </w:rPr>
              <w:t>Service owner</w:t>
            </w:r>
          </w:p>
        </w:tc>
      </w:tr>
      <w:tr>
        <w:tc>
          <w:tcPr>
            <w:tcW w:type="dxa" w:w="1656"/>
            <w:vAlign w:val="center"/>
          </w:tcPr>
          <w:p>
            <w:pPr>
              <w:spacing w:after="0"/>
            </w:pPr>
            <w:r/>
            <w:r>
              <w:rPr>
                <w:b w:val="0"/>
                <w:sz w:val="16"/>
              </w:rPr>
              <w:t>Median processing time</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Set with owner</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Compare by service type</w:t>
            </w:r>
          </w:p>
        </w:tc>
        <w:tc>
          <w:tcPr>
            <w:tcW w:type="dxa" w:w="1656"/>
            <w:vAlign w:val="center"/>
          </w:tcPr>
          <w:p>
            <w:pPr>
              <w:spacing w:after="0"/>
            </w:pPr>
            <w:r/>
            <w:r>
              <w:rPr>
                <w:b w:val="0"/>
                <w:sz w:val="16"/>
              </w:rPr>
              <w:t>Operations lead</w:t>
            </w:r>
          </w:p>
        </w:tc>
      </w:tr>
      <w:tr>
        <w:tc>
          <w:tcPr>
            <w:tcW w:type="dxa" w:w="1656"/>
            <w:vAlign w:val="center"/>
          </w:tcPr>
          <w:p>
            <w:pPr>
              <w:spacing w:after="0"/>
            </w:pPr>
            <w:r/>
            <w:r>
              <w:rPr>
                <w:b w:val="0"/>
                <w:sz w:val="16"/>
              </w:rPr>
              <w:t>First-time-right rate</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Set with owner</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Find repeated validation errors</w:t>
            </w:r>
          </w:p>
        </w:tc>
        <w:tc>
          <w:tcPr>
            <w:tcW w:type="dxa" w:w="1656"/>
            <w:vAlign w:val="center"/>
          </w:tcPr>
          <w:p>
            <w:pPr>
              <w:spacing w:after="0"/>
            </w:pPr>
            <w:r/>
            <w:r>
              <w:rPr>
                <w:b w:val="0"/>
                <w:sz w:val="16"/>
              </w:rPr>
              <w:t>Product owner</w:t>
            </w:r>
          </w:p>
        </w:tc>
      </w:tr>
      <w:tr>
        <w:tc>
          <w:tcPr>
            <w:tcW w:type="dxa" w:w="1656"/>
            <w:vAlign w:val="center"/>
          </w:tcPr>
          <w:p>
            <w:pPr>
              <w:spacing w:after="0"/>
            </w:pPr>
            <w:r/>
            <w:r>
              <w:rPr>
                <w:b w:val="0"/>
                <w:sz w:val="16"/>
              </w:rPr>
              <w:t>Availability / failed transactions</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Set with owner</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Check outages and peak periods</w:t>
            </w:r>
          </w:p>
        </w:tc>
        <w:tc>
          <w:tcPr>
            <w:tcW w:type="dxa" w:w="1656"/>
            <w:vAlign w:val="center"/>
          </w:tcPr>
          <w:p>
            <w:pPr>
              <w:spacing w:after="0"/>
            </w:pPr>
            <w:r/>
            <w:r>
              <w:rPr>
                <w:b w:val="0"/>
                <w:sz w:val="16"/>
              </w:rPr>
              <w:t>IT operations</w:t>
            </w:r>
          </w:p>
        </w:tc>
      </w:tr>
      <w:tr>
        <w:tc>
          <w:tcPr>
            <w:tcW w:type="dxa" w:w="1656"/>
            <w:vAlign w:val="center"/>
          </w:tcPr>
          <w:p>
            <w:pPr>
              <w:spacing w:after="0"/>
            </w:pPr>
            <w:r/>
            <w:r>
              <w:rPr>
                <w:b w:val="0"/>
                <w:sz w:val="16"/>
              </w:rPr>
              <w:t>Grievance resolution within SLA</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Set with owner</w:t>
            </w:r>
          </w:p>
        </w:tc>
        <w:tc>
          <w:tcPr>
            <w:tcW w:type="dxa" w:w="1656"/>
            <w:vAlign w:val="center"/>
          </w:tcPr>
          <w:p>
            <w:pPr>
              <w:spacing w:after="0"/>
            </w:pPr>
            <w:r/>
            <w:r>
              <w:rPr>
                <w:b w:val="0"/>
                <w:sz w:val="16"/>
              </w:rPr>
              <w:t>To calculate</w:t>
            </w:r>
          </w:p>
        </w:tc>
        <w:tc>
          <w:tcPr>
            <w:tcW w:type="dxa" w:w="1656"/>
            <w:vAlign w:val="center"/>
          </w:tcPr>
          <w:p>
            <w:pPr>
              <w:spacing w:after="0"/>
            </w:pPr>
            <w:r/>
            <w:r>
              <w:rPr>
                <w:b w:val="0"/>
                <w:sz w:val="16"/>
              </w:rPr>
              <w:t>Review delays and repeat complaints</w:t>
            </w:r>
          </w:p>
        </w:tc>
        <w:tc>
          <w:tcPr>
            <w:tcW w:type="dxa" w:w="1656"/>
            <w:vAlign w:val="center"/>
          </w:tcPr>
          <w:p>
            <w:pPr>
              <w:spacing w:after="0"/>
            </w:pPr>
            <w:r/>
            <w:r>
              <w:rPr>
                <w:b w:val="0"/>
                <w:sz w:val="16"/>
              </w:rPr>
              <w:t>Grievance lead</w:t>
            </w:r>
          </w:p>
        </w:tc>
      </w:tr>
      <w:tr>
        <w:tc>
          <w:tcPr>
            <w:tcW w:type="dxa" w:w="1656"/>
            <w:vAlign w:val="center"/>
          </w:tcPr>
          <w:p>
            <w:pPr>
              <w:spacing w:after="0"/>
            </w:pPr>
            <w:r/>
            <w:r>
              <w:rPr>
                <w:b w:val="0"/>
                <w:sz w:val="16"/>
              </w:rPr>
              <w:t>User satisfaction / accessibility</w:t>
            </w:r>
          </w:p>
        </w:tc>
        <w:tc>
          <w:tcPr>
            <w:tcW w:type="dxa" w:w="1656"/>
            <w:vAlign w:val="center"/>
          </w:tcPr>
          <w:p>
            <w:pPr>
              <w:spacing w:after="0"/>
            </w:pPr>
            <w:r/>
            <w:r>
              <w:rPr>
                <w:b w:val="0"/>
                <w:sz w:val="16"/>
              </w:rPr>
              <w:t>To measure</w:t>
            </w:r>
          </w:p>
        </w:tc>
        <w:tc>
          <w:tcPr>
            <w:tcW w:type="dxa" w:w="1656"/>
            <w:vAlign w:val="center"/>
          </w:tcPr>
          <w:p>
            <w:pPr>
              <w:spacing w:after="0"/>
            </w:pPr>
            <w:r/>
            <w:r>
              <w:rPr>
                <w:b w:val="0"/>
                <w:sz w:val="16"/>
              </w:rPr>
              <w:t>Set with owner</w:t>
            </w:r>
          </w:p>
        </w:tc>
        <w:tc>
          <w:tcPr>
            <w:tcW w:type="dxa" w:w="1656"/>
            <w:vAlign w:val="center"/>
          </w:tcPr>
          <w:p>
            <w:pPr>
              <w:spacing w:after="0"/>
            </w:pPr>
            <w:r/>
            <w:r>
              <w:rPr>
                <w:b w:val="0"/>
                <w:sz w:val="16"/>
              </w:rPr>
              <w:t>To measure</w:t>
            </w:r>
          </w:p>
        </w:tc>
        <w:tc>
          <w:tcPr>
            <w:tcW w:type="dxa" w:w="1656"/>
            <w:vAlign w:val="center"/>
          </w:tcPr>
          <w:p>
            <w:pPr>
              <w:spacing w:after="0"/>
            </w:pPr>
            <w:r/>
            <w:r>
              <w:rPr>
                <w:b w:val="0"/>
                <w:sz w:val="16"/>
              </w:rPr>
              <w:t>Combine surveys and usability testing</w:t>
            </w:r>
          </w:p>
        </w:tc>
        <w:tc>
          <w:tcPr>
            <w:tcW w:type="dxa" w:w="1656"/>
            <w:vAlign w:val="center"/>
          </w:tcPr>
          <w:p>
            <w:pPr>
              <w:spacing w:after="0"/>
            </w:pPr>
            <w:r/>
            <w:r>
              <w:rPr>
                <w:b w:val="0"/>
                <w:sz w:val="16"/>
              </w:rPr>
              <w:t>UX / service team</w:t>
            </w:r>
          </w:p>
        </w:tc>
      </w:tr>
    </w:tbl>
    <w:p/>
    <w:p>
      <w:pPr>
        <w:pStyle w:val="Heading1"/>
      </w:pPr>
      <w:r>
        <w:t>References and Further Reading</w:t>
      </w:r>
    </w:p>
    <w:p>
      <w:pPr>
        <w:pStyle w:val="ListBullet"/>
      </w:pPr>
      <w:r>
        <w:t>World Bank. GovTech and digital government resources. https://www.worldbank.org/en/programs/govtech</w:t>
      </w:r>
    </w:p>
    <w:p>
      <w:pPr>
        <w:pStyle w:val="ListBullet"/>
      </w:pPr>
      <w:r>
        <w:t>OECD. Digital Government Policy Framework and digital government resources. https://www.oecd.org/gov/digital-government/</w:t>
      </w:r>
    </w:p>
    <w:p>
      <w:pPr>
        <w:pStyle w:val="ListBullet"/>
      </w:pPr>
      <w:r>
        <w:t>W3C. Web Content Accessibility Guidelines (WCAG). https://www.w3.org/WAI/standards-guidelines/wcag/</w:t>
      </w:r>
    </w:p>
    <w:p>
      <w:pPr>
        <w:pStyle w:val="ListBullet"/>
      </w:pPr>
      <w:r>
        <w:t>NIST. Privacy Framework. https://www.nist.gov/privacy-framework</w:t>
      </w:r>
    </w:p>
    <w:p>
      <w:pPr>
        <w:pStyle w:val="ListBullet"/>
      </w:pPr>
      <w:r>
        <w:t>Government of India. Digital India programme. https://www.digitalindia.gov.in/</w:t>
      </w:r>
    </w:p>
    <w:p/>
    <w:p>
      <w:pPr>
        <w:jc w:val="center"/>
      </w:pPr>
      <w:r>
        <w:rPr>
          <w:b/>
          <w:color w:val="1F4E79"/>
        </w:rPr>
        <w:t>— End of Report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Evaluation Metrics and Strategic Recommendations for Improvement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E-GOVERNANCE DATA ANALYSIS INTERNSHIP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