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72A"/>
            <w:tcMar>
              <w:top w:w="240" w:type="dxa"/>
              <w:bottom w:w="240" w:type="dxa"/>
              <w:left w:w="250" w:type="dxa"/>
              <w:right w:w="250" w:type="dxa"/>
            </w:tcMar>
          </w:tcPr>
          <w:p>
            <w:pPr>
              <w:jc w:val="center"/>
            </w:pPr>
            <w:r>
              <w:rPr>
                <w:b/>
                <w:color w:val="818CF8"/>
                <w:sz w:val="18"/>
              </w:rPr>
              <w:t>ENTERPRISE PLATFORM SPECIFICATION • V2.4.0</w:t>
              <w:br/>
            </w:r>
            <w:r>
              <w:rPr>
                <w:b/>
                <w:color w:val="FFFFFF"/>
                <w:sz w:val="40"/>
              </w:rPr>
              <w:t>HireX Technology Stack Architecture Dossier</w:t>
              <w:br/>
            </w:r>
            <w:r>
              <w:rPr>
                <w:color w:val="94A3B8"/>
                <w:sz w:val="20"/>
              </w:rPr>
              <w:t>Comprehensive Engineering Blueprint of Client, Backend, Sovereign ML Engines, Edge APIs &amp; Cloud Infrastructure</w:t>
            </w:r>
          </w:p>
        </w:tc>
      </w:tr>
    </w:tbl>
    <w:p>
      <w:pPr>
        <w:spacing w:after="200"/>
      </w:pPr>
    </w:p>
    <w:tbl>
      <w:tblPr>
        <w:tblW w:type="auto" w:w="0"/>
        <w:jc w:val="center"/>
        <w:tblLook w:firstColumn="1" w:firstRow="1" w:lastColumn="0" w:lastRow="0" w:noHBand="0" w:noVBand="1" w:val="04A0"/>
      </w:tblPr>
      <w:tblGrid>
        <w:gridCol w:w="2484"/>
        <w:gridCol w:w="2484"/>
        <w:gridCol w:w="2484"/>
        <w:gridCol w:w="2484"/>
      </w:tblGrid>
      <w:tr>
        <w:tc>
          <w:tcPr>
            <w:tcW w:type="dxa" w:w="2304"/>
            <w:shd w:fill="312E81"/>
            <w:tcMar>
              <w:top w:w="120" w:type="dxa"/>
              <w:bottom w:w="120" w:type="dxa"/>
              <w:left w:w="150" w:type="dxa"/>
              <w:right w:w="150" w:type="dxa"/>
            </w:tcMar>
          </w:tcPr>
          <w:p>
            <w:pPr>
              <w:jc w:val="left"/>
            </w:pPr>
            <w:r>
              <w:rPr>
                <w:rFonts w:ascii="Arial" w:hAnsi="Arial"/>
                <w:b/>
                <w:color w:val="FFFFFF"/>
                <w:sz w:val="17"/>
              </w:rPr>
              <w:t>Attribute</w:t>
            </w:r>
          </w:p>
        </w:tc>
        <w:tc>
          <w:tcPr>
            <w:tcW w:type="dxa" w:w="2880"/>
            <w:shd w:fill="312E81"/>
            <w:tcMar>
              <w:top w:w="120" w:type="dxa"/>
              <w:bottom w:w="120" w:type="dxa"/>
              <w:left w:w="150" w:type="dxa"/>
              <w:right w:w="150" w:type="dxa"/>
            </w:tcMar>
          </w:tcPr>
          <w:p>
            <w:pPr>
              <w:jc w:val="left"/>
            </w:pPr>
            <w:r>
              <w:rPr>
                <w:rFonts w:ascii="Arial" w:hAnsi="Arial"/>
                <w:b/>
                <w:color w:val="FFFFFF"/>
                <w:sz w:val="17"/>
              </w:rPr>
              <w:t>Specification</w:t>
            </w:r>
          </w:p>
        </w:tc>
        <w:tc>
          <w:tcPr>
            <w:tcW w:type="dxa" w:w="2160"/>
            <w:shd w:fill="312E81"/>
            <w:tcMar>
              <w:top w:w="120" w:type="dxa"/>
              <w:bottom w:w="120" w:type="dxa"/>
              <w:left w:w="150" w:type="dxa"/>
              <w:right w:w="150" w:type="dxa"/>
            </w:tcMar>
          </w:tcPr>
          <w:p>
            <w:pPr>
              <w:jc w:val="left"/>
            </w:pPr>
            <w:r>
              <w:rPr>
                <w:rFonts w:ascii="Arial" w:hAnsi="Arial"/>
                <w:b/>
                <w:color w:val="FFFFFF"/>
                <w:sz w:val="17"/>
              </w:rPr>
              <w:t>Attribute</w:t>
            </w:r>
          </w:p>
        </w:tc>
        <w:tc>
          <w:tcPr>
            <w:tcW w:type="dxa" w:w="2592"/>
            <w:shd w:fill="312E81"/>
            <w:tcMar>
              <w:top w:w="120" w:type="dxa"/>
              <w:bottom w:w="120" w:type="dxa"/>
              <w:left w:w="150" w:type="dxa"/>
              <w:right w:w="150" w:type="dxa"/>
            </w:tcMar>
          </w:tcPr>
          <w:p>
            <w:pPr>
              <w:jc w:val="left"/>
            </w:pPr>
            <w:r>
              <w:rPr>
                <w:rFonts w:ascii="Arial" w:hAnsi="Arial"/>
                <w:b/>
                <w:color w:val="FFFFFF"/>
                <w:sz w:val="17"/>
              </w:rPr>
              <w:t>Specification</w:t>
            </w:r>
          </w:p>
        </w:tc>
      </w:tr>
      <w:tr>
        <w:tc>
          <w:tcPr>
            <w:tcW w:type="dxa" w:w="2304"/>
            <w:shd w:fill="FFFFFF"/>
            <w:tcMar>
              <w:top w:w="90" w:type="dxa"/>
              <w:bottom w:w="90" w:type="dxa"/>
              <w:left w:w="150" w:type="dxa"/>
              <w:right w:w="150" w:type="dxa"/>
            </w:tcMar>
          </w:tcPr>
          <w:p>
            <w:pPr>
              <w:jc w:val="left"/>
            </w:pPr>
            <w:r>
              <w:rPr>
                <w:rFonts w:ascii="Arial" w:hAnsi="Arial"/>
                <w:color w:val="1E293B"/>
                <w:sz w:val="17"/>
              </w:rPr>
              <w:t>Platform</w:t>
            </w:r>
          </w:p>
        </w:tc>
        <w:tc>
          <w:tcPr>
            <w:tcW w:type="dxa" w:w="2880"/>
            <w:shd w:fill="FFFFFF"/>
            <w:tcMar>
              <w:top w:w="90" w:type="dxa"/>
              <w:bottom w:w="90" w:type="dxa"/>
              <w:left w:w="150" w:type="dxa"/>
              <w:right w:w="150" w:type="dxa"/>
            </w:tcMar>
          </w:tcPr>
          <w:p>
            <w:pPr>
              <w:jc w:val="left"/>
            </w:pPr>
            <w:r>
              <w:rPr>
                <w:rFonts w:ascii="Arial" w:hAnsi="Arial"/>
                <w:color w:val="1E293B"/>
                <w:sz w:val="17"/>
              </w:rPr>
              <w:t>HireX Enterprise Edition</w:t>
            </w:r>
          </w:p>
        </w:tc>
        <w:tc>
          <w:tcPr>
            <w:tcW w:type="dxa" w:w="2160"/>
            <w:shd w:fill="FFFFFF"/>
            <w:tcMar>
              <w:top w:w="90" w:type="dxa"/>
              <w:bottom w:w="90" w:type="dxa"/>
              <w:left w:w="150" w:type="dxa"/>
              <w:right w:w="150" w:type="dxa"/>
            </w:tcMar>
          </w:tcPr>
          <w:p>
            <w:pPr>
              <w:jc w:val="left"/>
            </w:pPr>
            <w:r>
              <w:rPr>
                <w:rFonts w:ascii="Arial" w:hAnsi="Arial"/>
                <w:color w:val="1E293B"/>
                <w:sz w:val="17"/>
              </w:rPr>
              <w:t>Version</w:t>
            </w:r>
          </w:p>
        </w:tc>
        <w:tc>
          <w:tcPr>
            <w:tcW w:type="dxa" w:w="2592"/>
            <w:shd w:fill="FFFFFF"/>
            <w:tcMar>
              <w:top w:w="90" w:type="dxa"/>
              <w:bottom w:w="90" w:type="dxa"/>
              <w:left w:w="150" w:type="dxa"/>
              <w:right w:w="150" w:type="dxa"/>
            </w:tcMar>
          </w:tcPr>
          <w:p>
            <w:pPr>
              <w:jc w:val="left"/>
            </w:pPr>
            <w:r>
              <w:rPr>
                <w:rFonts w:ascii="Arial" w:hAnsi="Arial"/>
                <w:color w:val="1E293B"/>
                <w:sz w:val="17"/>
              </w:rPr>
              <w:t>2.4.0 (Truth-in-Hiring)</w:t>
            </w:r>
          </w:p>
        </w:tc>
      </w:tr>
      <w:tr>
        <w:tc>
          <w:tcPr>
            <w:tcW w:type="dxa" w:w="2304"/>
            <w:shd w:fill="F8FAFC"/>
            <w:tcMar>
              <w:top w:w="90" w:type="dxa"/>
              <w:bottom w:w="90" w:type="dxa"/>
              <w:left w:w="150" w:type="dxa"/>
              <w:right w:w="150" w:type="dxa"/>
            </w:tcMar>
          </w:tcPr>
          <w:p>
            <w:pPr>
              <w:jc w:val="left"/>
            </w:pPr>
            <w:r>
              <w:rPr>
                <w:rFonts w:ascii="Arial" w:hAnsi="Arial"/>
                <w:color w:val="1E293B"/>
                <w:sz w:val="17"/>
              </w:rPr>
              <w:t>Target Repository</w:t>
            </w:r>
          </w:p>
        </w:tc>
        <w:tc>
          <w:tcPr>
            <w:tcW w:type="dxa" w:w="2880"/>
            <w:shd w:fill="F8FAFC"/>
            <w:tcMar>
              <w:top w:w="90" w:type="dxa"/>
              <w:bottom w:w="90" w:type="dxa"/>
              <w:left w:w="150" w:type="dxa"/>
              <w:right w:w="150" w:type="dxa"/>
            </w:tcMar>
          </w:tcPr>
          <w:p>
            <w:pPr>
              <w:jc w:val="left"/>
            </w:pPr>
            <w:r>
              <w:rPr>
                <w:rFonts w:ascii="Arial" w:hAnsi="Arial"/>
                <w:color w:val="1E293B"/>
                <w:sz w:val="17"/>
              </w:rPr>
              <w:t>swaralinarwade/Project-HireX</w:t>
            </w:r>
          </w:p>
        </w:tc>
        <w:tc>
          <w:tcPr>
            <w:tcW w:type="dxa" w:w="2160"/>
            <w:shd w:fill="F8FAFC"/>
            <w:tcMar>
              <w:top w:w="90" w:type="dxa"/>
              <w:bottom w:w="90" w:type="dxa"/>
              <w:left w:w="150" w:type="dxa"/>
              <w:right w:w="150" w:type="dxa"/>
            </w:tcMar>
          </w:tcPr>
          <w:p>
            <w:pPr>
              <w:jc w:val="left"/>
            </w:pPr>
            <w:r>
              <w:rPr>
                <w:rFonts w:ascii="Arial" w:hAnsi="Arial"/>
                <w:color w:val="1E293B"/>
                <w:sz w:val="17"/>
              </w:rPr>
              <w:t>Architecture</w:t>
            </w:r>
          </w:p>
        </w:tc>
        <w:tc>
          <w:tcPr>
            <w:tcW w:type="dxa" w:w="2592"/>
            <w:shd w:fill="F8FAFC"/>
            <w:tcMar>
              <w:top w:w="90" w:type="dxa"/>
              <w:bottom w:w="90" w:type="dxa"/>
              <w:left w:w="150" w:type="dxa"/>
              <w:right w:w="150" w:type="dxa"/>
            </w:tcMar>
          </w:tcPr>
          <w:p>
            <w:pPr>
              <w:jc w:val="left"/>
            </w:pPr>
            <w:r>
              <w:rPr>
                <w:rFonts w:ascii="Arial" w:hAnsi="Arial"/>
                <w:color w:val="1E293B"/>
                <w:sz w:val="17"/>
              </w:rPr>
              <w:t>Reactive Distributed ASGI</w:t>
            </w:r>
          </w:p>
        </w:tc>
      </w:tr>
      <w:tr>
        <w:tc>
          <w:tcPr>
            <w:tcW w:type="dxa" w:w="2304"/>
            <w:shd w:fill="FFFFFF"/>
            <w:tcMar>
              <w:top w:w="90" w:type="dxa"/>
              <w:bottom w:w="90" w:type="dxa"/>
              <w:left w:w="150" w:type="dxa"/>
              <w:right w:w="150" w:type="dxa"/>
            </w:tcMar>
          </w:tcPr>
          <w:p>
            <w:pPr>
              <w:jc w:val="left"/>
            </w:pPr>
            <w:r>
              <w:rPr>
                <w:rFonts w:ascii="Arial" w:hAnsi="Arial"/>
                <w:color w:val="1E293B"/>
                <w:sz w:val="17"/>
              </w:rPr>
              <w:t>Frontend Core</w:t>
            </w:r>
          </w:p>
        </w:tc>
        <w:tc>
          <w:tcPr>
            <w:tcW w:type="dxa" w:w="2880"/>
            <w:shd w:fill="FFFFFF"/>
            <w:tcMar>
              <w:top w:w="90" w:type="dxa"/>
              <w:bottom w:w="90" w:type="dxa"/>
              <w:left w:w="150" w:type="dxa"/>
              <w:right w:w="150" w:type="dxa"/>
            </w:tcMar>
          </w:tcPr>
          <w:p>
            <w:pPr>
              <w:jc w:val="left"/>
            </w:pPr>
            <w:r>
              <w:rPr>
                <w:rFonts w:ascii="Arial" w:hAnsi="Arial"/>
                <w:color w:val="1E293B"/>
                <w:sz w:val="17"/>
              </w:rPr>
              <w:t>React 18 + TS + Vite</w:t>
            </w:r>
          </w:p>
        </w:tc>
        <w:tc>
          <w:tcPr>
            <w:tcW w:type="dxa" w:w="2160"/>
            <w:shd w:fill="FFFFFF"/>
            <w:tcMar>
              <w:top w:w="90" w:type="dxa"/>
              <w:bottom w:w="90" w:type="dxa"/>
              <w:left w:w="150" w:type="dxa"/>
              <w:right w:w="150" w:type="dxa"/>
            </w:tcMar>
          </w:tcPr>
          <w:p>
            <w:pPr>
              <w:jc w:val="left"/>
            </w:pPr>
            <w:r>
              <w:rPr>
                <w:rFonts w:ascii="Arial" w:hAnsi="Arial"/>
                <w:color w:val="1E293B"/>
                <w:sz w:val="17"/>
              </w:rPr>
              <w:t>Backend Core</w:t>
            </w:r>
          </w:p>
        </w:tc>
        <w:tc>
          <w:tcPr>
            <w:tcW w:type="dxa" w:w="2592"/>
            <w:shd w:fill="FFFFFF"/>
            <w:tcMar>
              <w:top w:w="90" w:type="dxa"/>
              <w:bottom w:w="90" w:type="dxa"/>
              <w:left w:w="150" w:type="dxa"/>
              <w:right w:w="150" w:type="dxa"/>
            </w:tcMar>
          </w:tcPr>
          <w:p>
            <w:pPr>
              <w:jc w:val="left"/>
            </w:pPr>
            <w:r>
              <w:rPr>
                <w:rFonts w:ascii="Arial" w:hAnsi="Arial"/>
                <w:color w:val="1E293B"/>
                <w:sz w:val="17"/>
              </w:rPr>
              <w:t>FastAPI (Python 3.12/3.14)</w:t>
            </w:r>
          </w:p>
        </w:tc>
      </w:tr>
      <w:tr>
        <w:tc>
          <w:tcPr>
            <w:tcW w:type="dxa" w:w="2304"/>
            <w:shd w:fill="F8FAFC"/>
            <w:tcMar>
              <w:top w:w="90" w:type="dxa"/>
              <w:bottom w:w="90" w:type="dxa"/>
              <w:left w:w="150" w:type="dxa"/>
              <w:right w:w="150" w:type="dxa"/>
            </w:tcMar>
          </w:tcPr>
          <w:p>
            <w:pPr>
              <w:jc w:val="left"/>
            </w:pPr>
            <w:r>
              <w:rPr>
                <w:rFonts w:ascii="Arial" w:hAnsi="Arial"/>
                <w:color w:val="1E293B"/>
                <w:sz w:val="17"/>
              </w:rPr>
              <w:t>Compliance Baseline</w:t>
            </w:r>
          </w:p>
        </w:tc>
        <w:tc>
          <w:tcPr>
            <w:tcW w:type="dxa" w:w="2880"/>
            <w:shd w:fill="F8FAFC"/>
            <w:tcMar>
              <w:top w:w="90" w:type="dxa"/>
              <w:bottom w:w="90" w:type="dxa"/>
              <w:left w:w="150" w:type="dxa"/>
              <w:right w:w="150" w:type="dxa"/>
            </w:tcMar>
          </w:tcPr>
          <w:p>
            <w:pPr>
              <w:jc w:val="left"/>
            </w:pPr>
            <w:r>
              <w:rPr>
                <w:rFonts w:ascii="Arial" w:hAnsi="Arial"/>
                <w:color w:val="1E293B"/>
                <w:sz w:val="17"/>
              </w:rPr>
              <w:t>DPDP Act 2023 (India)</w:t>
            </w:r>
          </w:p>
        </w:tc>
        <w:tc>
          <w:tcPr>
            <w:tcW w:type="dxa" w:w="2160"/>
            <w:shd w:fill="F8FAFC"/>
            <w:tcMar>
              <w:top w:w="90" w:type="dxa"/>
              <w:bottom w:w="90" w:type="dxa"/>
              <w:left w:w="150" w:type="dxa"/>
              <w:right w:w="150" w:type="dxa"/>
            </w:tcMar>
          </w:tcPr>
          <w:p>
            <w:pPr>
              <w:jc w:val="left"/>
            </w:pPr>
            <w:r>
              <w:rPr>
                <w:rFonts w:ascii="Arial" w:hAnsi="Arial"/>
                <w:color w:val="1E293B"/>
                <w:sz w:val="17"/>
              </w:rPr>
              <w:t>Security Tier</w:t>
            </w:r>
          </w:p>
        </w:tc>
        <w:tc>
          <w:tcPr>
            <w:tcW w:type="dxa" w:w="2592"/>
            <w:shd w:fill="F8FAFC"/>
            <w:tcMar>
              <w:top w:w="90" w:type="dxa"/>
              <w:bottom w:w="90" w:type="dxa"/>
              <w:left w:w="150" w:type="dxa"/>
              <w:right w:w="150" w:type="dxa"/>
            </w:tcMar>
          </w:tcPr>
          <w:p>
            <w:pPr>
              <w:jc w:val="left"/>
            </w:pPr>
            <w:r>
              <w:rPr>
                <w:rFonts w:ascii="Arial" w:hAnsi="Arial"/>
                <w:color w:val="1E293B"/>
                <w:sz w:val="17"/>
              </w:rPr>
              <w:t>Zero-Knowledge Sovereign</w:t>
            </w:r>
          </w:p>
        </w:tc>
      </w:tr>
    </w:tbl>
    <w:p>
      <w:pPr>
        <w:spacing w:after="240"/>
      </w:pPr>
    </w:p>
    <w:p>
      <w:pPr>
        <w:pStyle w:val="Heading1"/>
      </w:pPr>
      <w:r>
        <w:rPr>
          <w:b/>
          <w:color w:val="1E1B4B"/>
          <w:sz w:val="28"/>
        </w:rPr>
        <w:t>1. Executive Technical Summary</w:t>
      </w:r>
    </w:p>
    <w:p>
      <w:pPr>
        <w:spacing w:line="300" w:lineRule="auto" w:after="160"/>
      </w:pPr>
      <w:r>
        <w:t>HireX is engineered as an asynchronous, reactive distributed platform architected to eliminate resume fraud, curriculum desynchronization, and fragmented placement operations. By shifting talent verification from unverifiable text claims to sovereign in-browser AST code execution, acoustic/visual anti-cheating telemetry, and explainable vector matching, the platform establishes mathematically certified hiring readiness.</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36" w:space="0" w:color="10B981"/>
              <w:top w:val="none"/>
              <w:right w:val="none"/>
              <w:bottom w:val="none"/>
            </w:tcBorders>
          </w:tcPr>
          <w:p>
            <w:pPr>
              <w:spacing w:before="40" w:after="40"/>
            </w:pPr>
            <w:r>
              <w:rPr>
                <w:rFonts w:ascii="Arial" w:hAnsi="Arial"/>
                <w:b/>
                <w:color w:val="312E81"/>
                <w:sz w:val="18"/>
              </w:rPr>
              <w:t>[DATA PRIVACY &amp; SOVEREIGNTY MANDATE]</w:t>
              <w:br/>
            </w:r>
            <w:r>
              <w:rPr>
                <w:rFonts w:ascii="Arial" w:hAnsi="Arial"/>
                <w:color w:val="334155"/>
                <w:sz w:val="19"/>
              </w:rPr>
              <w:t>Zero Cloud Dependency Mandate: All six machine learning and mathematical verification engines execute 100% locally within memory (latency &lt; 2.0ms), achieving strict compliance with India's Digital Personal Data Protection (DPDP) Act 2023 by eliminating third-party commercial LLM data exports.</w:t>
            </w:r>
          </w:p>
        </w:tc>
      </w:tr>
    </w:tbl>
    <w:p>
      <w:pPr>
        <w:spacing w:after="80"/>
      </w:pPr>
    </w:p>
    <w:p>
      <w:pPr>
        <w:pStyle w:val="Heading1"/>
      </w:pPr>
      <w:r>
        <w:rPr>
          <w:b/>
          <w:color w:val="1E1B4B"/>
          <w:sz w:val="28"/>
        </w:rPr>
        <w:t>2. Comprehensive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160"/>
            <w:shd w:fill="1E1B4B"/>
            <w:tcMar>
              <w:top w:w="120" w:type="dxa"/>
              <w:bottom w:w="120" w:type="dxa"/>
              <w:left w:w="150" w:type="dxa"/>
              <w:right w:w="150" w:type="dxa"/>
            </w:tcMar>
          </w:tcPr>
          <w:p>
            <w:pPr>
              <w:jc w:val="left"/>
            </w:pPr>
            <w:r>
              <w:rPr>
                <w:rFonts w:ascii="Arial" w:hAnsi="Arial"/>
                <w:b/>
                <w:color w:val="FFFFFF"/>
                <w:sz w:val="17"/>
              </w:rPr>
              <w:t>Layer</w:t>
            </w:r>
          </w:p>
        </w:tc>
        <w:tc>
          <w:tcPr>
            <w:tcW w:type="dxa" w:w="2592"/>
            <w:shd w:fill="1E1B4B"/>
            <w:tcMar>
              <w:top w:w="120" w:type="dxa"/>
              <w:bottom w:w="120" w:type="dxa"/>
              <w:left w:w="150" w:type="dxa"/>
              <w:right w:w="150" w:type="dxa"/>
            </w:tcMar>
          </w:tcPr>
          <w:p>
            <w:pPr>
              <w:jc w:val="left"/>
            </w:pPr>
            <w:r>
              <w:rPr>
                <w:rFonts w:ascii="Arial" w:hAnsi="Arial"/>
                <w:b/>
                <w:color w:val="FFFFFF"/>
                <w:sz w:val="17"/>
              </w:rPr>
              <w:t>Technology</w:t>
            </w:r>
          </w:p>
        </w:tc>
        <w:tc>
          <w:tcPr>
            <w:tcW w:type="dxa" w:w="3168"/>
            <w:shd w:fill="1E1B4B"/>
            <w:tcMar>
              <w:top w:w="120" w:type="dxa"/>
              <w:bottom w:w="120" w:type="dxa"/>
              <w:left w:w="150" w:type="dxa"/>
              <w:right w:w="150" w:type="dxa"/>
            </w:tcMar>
          </w:tcPr>
          <w:p>
            <w:pPr>
              <w:jc w:val="left"/>
            </w:pPr>
            <w:r>
              <w:rPr>
                <w:rFonts w:ascii="Arial" w:hAnsi="Arial"/>
                <w:b/>
                <w:color w:val="FFFFFF"/>
                <w:sz w:val="17"/>
              </w:rPr>
              <w:t>Role &amp; Engineering Responsibility</w:t>
            </w:r>
          </w:p>
        </w:tc>
        <w:tc>
          <w:tcPr>
            <w:tcW w:type="dxa" w:w="2016"/>
            <w:shd w:fill="1E1B4B"/>
            <w:tcMar>
              <w:top w:w="120" w:type="dxa"/>
              <w:bottom w:w="120" w:type="dxa"/>
              <w:left w:w="150" w:type="dxa"/>
              <w:right w:w="150" w:type="dxa"/>
            </w:tcMar>
          </w:tcPr>
          <w:p>
            <w:pPr>
              <w:jc w:val="left"/>
            </w:pPr>
            <w:r>
              <w:rPr>
                <w:rFonts w:ascii="Arial" w:hAnsi="Arial"/>
                <w:b/>
                <w:color w:val="FFFFFF"/>
                <w:sz w:val="17"/>
              </w:rPr>
              <w:t>Performance SLA</w:t>
            </w:r>
          </w:p>
        </w:tc>
      </w:tr>
      <w:tr>
        <w:tc>
          <w:tcPr>
            <w:tcW w:type="dxa" w:w="2160"/>
            <w:shd w:fill="FFFFFF"/>
            <w:tcMar>
              <w:top w:w="90" w:type="dxa"/>
              <w:bottom w:w="90" w:type="dxa"/>
              <w:left w:w="150" w:type="dxa"/>
              <w:right w:w="150" w:type="dxa"/>
            </w:tcMar>
          </w:tcPr>
          <w:p>
            <w:pPr>
              <w:jc w:val="left"/>
            </w:pPr>
            <w:r>
              <w:rPr>
                <w:rFonts w:ascii="Arial" w:hAnsi="Arial"/>
                <w:color w:val="1E293B"/>
                <w:sz w:val="17"/>
              </w:rPr>
              <w:t>Client Framework</w:t>
            </w:r>
          </w:p>
        </w:tc>
        <w:tc>
          <w:tcPr>
            <w:tcW w:type="dxa" w:w="2592"/>
            <w:shd w:fill="FFFFFF"/>
            <w:tcMar>
              <w:top w:w="90" w:type="dxa"/>
              <w:bottom w:w="90" w:type="dxa"/>
              <w:left w:w="150" w:type="dxa"/>
              <w:right w:w="150" w:type="dxa"/>
            </w:tcMar>
          </w:tcPr>
          <w:p>
            <w:pPr>
              <w:jc w:val="left"/>
            </w:pPr>
            <w:r>
              <w:rPr>
                <w:rFonts w:ascii="Arial" w:hAnsi="Arial"/>
                <w:color w:val="1E293B"/>
                <w:sz w:val="17"/>
              </w:rPr>
              <w:t>React 18.2 + TypeScript 5</w:t>
            </w:r>
          </w:p>
        </w:tc>
        <w:tc>
          <w:tcPr>
            <w:tcW w:type="dxa" w:w="3168"/>
            <w:shd w:fill="FFFFFF"/>
            <w:tcMar>
              <w:top w:w="90" w:type="dxa"/>
              <w:bottom w:w="90" w:type="dxa"/>
              <w:left w:w="150" w:type="dxa"/>
              <w:right w:w="150" w:type="dxa"/>
            </w:tcMar>
          </w:tcPr>
          <w:p>
            <w:pPr>
              <w:jc w:val="left"/>
            </w:pPr>
            <w:r>
              <w:rPr>
                <w:rFonts w:ascii="Arial" w:hAnsi="Arial"/>
                <w:color w:val="1E293B"/>
                <w:sz w:val="17"/>
              </w:rPr>
              <w:t>Component tree rendering, strict static typing, and reactive HUD state</w:t>
            </w:r>
          </w:p>
        </w:tc>
        <w:tc>
          <w:tcPr>
            <w:tcW w:type="dxa" w:w="2016"/>
            <w:shd w:fill="FFFFFF"/>
            <w:tcMar>
              <w:top w:w="90" w:type="dxa"/>
              <w:bottom w:w="90" w:type="dxa"/>
              <w:left w:w="150" w:type="dxa"/>
              <w:right w:w="150" w:type="dxa"/>
            </w:tcMar>
          </w:tcPr>
          <w:p>
            <w:pPr>
              <w:jc w:val="left"/>
            </w:pPr>
            <w:r>
              <w:rPr>
                <w:rFonts w:ascii="Arial" w:hAnsi="Arial"/>
                <w:color w:val="1E293B"/>
                <w:sz w:val="17"/>
              </w:rPr>
              <w:t>HMR &lt; 300ms</w:t>
            </w:r>
          </w:p>
        </w:tc>
      </w:tr>
      <w:tr>
        <w:tc>
          <w:tcPr>
            <w:tcW w:type="dxa" w:w="2160"/>
            <w:shd w:fill="F8FAFC"/>
            <w:tcMar>
              <w:top w:w="90" w:type="dxa"/>
              <w:bottom w:w="90" w:type="dxa"/>
              <w:left w:w="150" w:type="dxa"/>
              <w:right w:w="150" w:type="dxa"/>
            </w:tcMar>
          </w:tcPr>
          <w:p>
            <w:pPr>
              <w:jc w:val="left"/>
            </w:pPr>
            <w:r>
              <w:rPr>
                <w:rFonts w:ascii="Arial" w:hAnsi="Arial"/>
                <w:color w:val="1E293B"/>
                <w:sz w:val="17"/>
              </w:rPr>
              <w:t>Build Engine</w:t>
            </w:r>
          </w:p>
        </w:tc>
        <w:tc>
          <w:tcPr>
            <w:tcW w:type="dxa" w:w="2592"/>
            <w:shd w:fill="F8FAFC"/>
            <w:tcMar>
              <w:top w:w="90" w:type="dxa"/>
              <w:bottom w:w="90" w:type="dxa"/>
              <w:left w:w="150" w:type="dxa"/>
              <w:right w:w="150" w:type="dxa"/>
            </w:tcMar>
          </w:tcPr>
          <w:p>
            <w:pPr>
              <w:jc w:val="left"/>
            </w:pPr>
            <w:r>
              <w:rPr>
                <w:rFonts w:ascii="Arial" w:hAnsi="Arial"/>
                <w:color w:val="1E293B"/>
                <w:sz w:val="17"/>
              </w:rPr>
              <w:t>Vite 5.x</w:t>
            </w:r>
          </w:p>
        </w:tc>
        <w:tc>
          <w:tcPr>
            <w:tcW w:type="dxa" w:w="3168"/>
            <w:shd w:fill="F8FAFC"/>
            <w:tcMar>
              <w:top w:w="90" w:type="dxa"/>
              <w:bottom w:w="90" w:type="dxa"/>
              <w:left w:w="150" w:type="dxa"/>
              <w:right w:w="150" w:type="dxa"/>
            </w:tcMar>
          </w:tcPr>
          <w:p>
            <w:pPr>
              <w:jc w:val="left"/>
            </w:pPr>
            <w:r>
              <w:rPr>
                <w:rFonts w:ascii="Arial" w:hAnsi="Arial"/>
                <w:color w:val="1E293B"/>
                <w:sz w:val="17"/>
              </w:rPr>
              <w:t>Native ES Modules bundler, Rollup tree-shaking, production chunk splitting</w:t>
            </w:r>
          </w:p>
        </w:tc>
        <w:tc>
          <w:tcPr>
            <w:tcW w:type="dxa" w:w="2016"/>
            <w:shd w:fill="F8FAFC"/>
            <w:tcMar>
              <w:top w:w="90" w:type="dxa"/>
              <w:bottom w:w="90" w:type="dxa"/>
              <w:left w:w="150" w:type="dxa"/>
              <w:right w:w="150" w:type="dxa"/>
            </w:tcMar>
          </w:tcPr>
          <w:p>
            <w:pPr>
              <w:jc w:val="left"/>
            </w:pPr>
            <w:r>
              <w:rPr>
                <w:rFonts w:ascii="Arial" w:hAnsi="Arial"/>
                <w:color w:val="1E293B"/>
                <w:sz w:val="17"/>
              </w:rPr>
              <w:t>Sub-second builds</w:t>
            </w:r>
          </w:p>
        </w:tc>
      </w:tr>
      <w:tr>
        <w:tc>
          <w:tcPr>
            <w:tcW w:type="dxa" w:w="2160"/>
            <w:shd w:fill="FFFFFF"/>
            <w:tcMar>
              <w:top w:w="90" w:type="dxa"/>
              <w:bottom w:w="90" w:type="dxa"/>
              <w:left w:w="150" w:type="dxa"/>
              <w:right w:w="150" w:type="dxa"/>
            </w:tcMar>
          </w:tcPr>
          <w:p>
            <w:pPr>
              <w:jc w:val="left"/>
            </w:pPr>
            <w:r>
              <w:rPr>
                <w:rFonts w:ascii="Arial" w:hAnsi="Arial"/>
                <w:color w:val="1E293B"/>
                <w:sz w:val="17"/>
              </w:rPr>
              <w:t>Styling System</w:t>
            </w:r>
          </w:p>
        </w:tc>
        <w:tc>
          <w:tcPr>
            <w:tcW w:type="dxa" w:w="2592"/>
            <w:shd w:fill="FFFFFF"/>
            <w:tcMar>
              <w:top w:w="90" w:type="dxa"/>
              <w:bottom w:w="90" w:type="dxa"/>
              <w:left w:w="150" w:type="dxa"/>
              <w:right w:w="150" w:type="dxa"/>
            </w:tcMar>
          </w:tcPr>
          <w:p>
            <w:pPr>
              <w:jc w:val="left"/>
            </w:pPr>
            <w:r>
              <w:rPr>
                <w:rFonts w:ascii="Arial" w:hAnsi="Arial"/>
                <w:color w:val="1E293B"/>
                <w:sz w:val="17"/>
              </w:rPr>
              <w:t>Tailwind CSS 3.4</w:t>
            </w:r>
          </w:p>
        </w:tc>
        <w:tc>
          <w:tcPr>
            <w:tcW w:type="dxa" w:w="3168"/>
            <w:shd w:fill="FFFFFF"/>
            <w:tcMar>
              <w:top w:w="90" w:type="dxa"/>
              <w:bottom w:w="90" w:type="dxa"/>
              <w:left w:w="150" w:type="dxa"/>
              <w:right w:w="150" w:type="dxa"/>
            </w:tcMar>
          </w:tcPr>
          <w:p>
            <w:pPr>
              <w:jc w:val="left"/>
            </w:pPr>
            <w:r>
              <w:rPr>
                <w:rFonts w:ascii="Arial" w:hAnsi="Arial"/>
                <w:color w:val="1E293B"/>
                <w:sz w:val="17"/>
              </w:rPr>
              <w:t>Custom Industrial Swiss design tokens, 8-pt spatial rhythm, responsive grid</w:t>
            </w:r>
          </w:p>
        </w:tc>
        <w:tc>
          <w:tcPr>
            <w:tcW w:type="dxa" w:w="2016"/>
            <w:shd w:fill="FFFFFF"/>
            <w:tcMar>
              <w:top w:w="90" w:type="dxa"/>
              <w:bottom w:w="90" w:type="dxa"/>
              <w:left w:w="150" w:type="dxa"/>
              <w:right w:w="150" w:type="dxa"/>
            </w:tcMar>
          </w:tcPr>
          <w:p>
            <w:pPr>
              <w:jc w:val="left"/>
            </w:pPr>
            <w:r>
              <w:rPr>
                <w:rFonts w:ascii="Arial" w:hAnsi="Arial"/>
                <w:color w:val="1E293B"/>
                <w:sz w:val="17"/>
              </w:rPr>
              <w:t>Zero CSS runtime</w:t>
            </w:r>
          </w:p>
        </w:tc>
      </w:tr>
      <w:tr>
        <w:tc>
          <w:tcPr>
            <w:tcW w:type="dxa" w:w="2160"/>
            <w:shd w:fill="F8FAFC"/>
            <w:tcMar>
              <w:top w:w="90" w:type="dxa"/>
              <w:bottom w:w="90" w:type="dxa"/>
              <w:left w:w="150" w:type="dxa"/>
              <w:right w:w="150" w:type="dxa"/>
            </w:tcMar>
          </w:tcPr>
          <w:p>
            <w:pPr>
              <w:jc w:val="left"/>
            </w:pPr>
            <w:r>
              <w:rPr>
                <w:rFonts w:ascii="Arial" w:hAnsi="Arial"/>
                <w:color w:val="1E293B"/>
                <w:sz w:val="17"/>
              </w:rPr>
              <w:t>Edge Web APIs</w:t>
            </w:r>
          </w:p>
        </w:tc>
        <w:tc>
          <w:tcPr>
            <w:tcW w:type="dxa" w:w="2592"/>
            <w:shd w:fill="F8FAFC"/>
            <w:tcMar>
              <w:top w:w="90" w:type="dxa"/>
              <w:bottom w:w="90" w:type="dxa"/>
              <w:left w:w="150" w:type="dxa"/>
              <w:right w:w="150" w:type="dxa"/>
            </w:tcMar>
          </w:tcPr>
          <w:p>
            <w:pPr>
              <w:jc w:val="left"/>
            </w:pPr>
            <w:r>
              <w:rPr>
                <w:rFonts w:ascii="Arial" w:hAnsi="Arial"/>
                <w:color w:val="1E293B"/>
                <w:sz w:val="17"/>
              </w:rPr>
              <w:t>Web Audio + MediaStream</w:t>
            </w:r>
          </w:p>
        </w:tc>
        <w:tc>
          <w:tcPr>
            <w:tcW w:type="dxa" w:w="3168"/>
            <w:shd w:fill="F8FAFC"/>
            <w:tcMar>
              <w:top w:w="90" w:type="dxa"/>
              <w:bottom w:w="90" w:type="dxa"/>
              <w:left w:w="150" w:type="dxa"/>
              <w:right w:w="150" w:type="dxa"/>
            </w:tcMar>
          </w:tcPr>
          <w:p>
            <w:pPr>
              <w:jc w:val="left"/>
            </w:pPr>
            <w:r>
              <w:rPr>
                <w:rFonts w:ascii="Arial" w:hAnsi="Arial"/>
                <w:color w:val="1E293B"/>
                <w:sz w:val="17"/>
              </w:rPr>
              <w:t>In-browser RMS audio decibel coaching detector &amp; offscreen canvas gaze tracking</w:t>
            </w:r>
          </w:p>
        </w:tc>
        <w:tc>
          <w:tcPr>
            <w:tcW w:type="dxa" w:w="2016"/>
            <w:shd w:fill="F8FAFC"/>
            <w:tcMar>
              <w:top w:w="90" w:type="dxa"/>
              <w:bottom w:w="90" w:type="dxa"/>
              <w:left w:w="150" w:type="dxa"/>
              <w:right w:w="150" w:type="dxa"/>
            </w:tcMar>
          </w:tcPr>
          <w:p>
            <w:pPr>
              <w:jc w:val="left"/>
            </w:pPr>
            <w:r>
              <w:rPr>
                <w:rFonts w:ascii="Arial" w:hAnsi="Arial"/>
                <w:color w:val="1E293B"/>
                <w:sz w:val="17"/>
              </w:rPr>
              <w:t>100ms sample loop</w:t>
            </w:r>
          </w:p>
        </w:tc>
      </w:tr>
      <w:tr>
        <w:tc>
          <w:tcPr>
            <w:tcW w:type="dxa" w:w="2160"/>
            <w:shd w:fill="FFFFFF"/>
            <w:tcMar>
              <w:top w:w="90" w:type="dxa"/>
              <w:bottom w:w="90" w:type="dxa"/>
              <w:left w:w="150" w:type="dxa"/>
              <w:right w:w="150" w:type="dxa"/>
            </w:tcMar>
          </w:tcPr>
          <w:p>
            <w:pPr>
              <w:jc w:val="left"/>
            </w:pPr>
            <w:r>
              <w:rPr>
                <w:rFonts w:ascii="Arial" w:hAnsi="Arial"/>
                <w:color w:val="1E293B"/>
                <w:sz w:val="17"/>
              </w:rPr>
              <w:t>In-Browser IDE</w:t>
            </w:r>
          </w:p>
        </w:tc>
        <w:tc>
          <w:tcPr>
            <w:tcW w:type="dxa" w:w="2592"/>
            <w:shd w:fill="FFFFFF"/>
            <w:tcMar>
              <w:top w:w="90" w:type="dxa"/>
              <w:bottom w:w="90" w:type="dxa"/>
              <w:left w:w="150" w:type="dxa"/>
              <w:right w:w="150" w:type="dxa"/>
            </w:tcMar>
          </w:tcPr>
          <w:p>
            <w:pPr>
              <w:jc w:val="left"/>
            </w:pPr>
            <w:r>
              <w:rPr>
                <w:rFonts w:ascii="Arial" w:hAnsi="Arial"/>
                <w:color w:val="1E293B"/>
                <w:sz w:val="17"/>
              </w:rPr>
              <w:t>Custom AST Code Lab</w:t>
            </w:r>
          </w:p>
        </w:tc>
        <w:tc>
          <w:tcPr>
            <w:tcW w:type="dxa" w:w="3168"/>
            <w:shd w:fill="FFFFFF"/>
            <w:tcMar>
              <w:top w:w="90" w:type="dxa"/>
              <w:bottom w:w="90" w:type="dxa"/>
              <w:left w:w="150" w:type="dxa"/>
              <w:right w:w="150" w:type="dxa"/>
            </w:tcMar>
          </w:tcPr>
          <w:p>
            <w:pPr>
              <w:jc w:val="left"/>
            </w:pPr>
            <w:r>
              <w:rPr>
                <w:rFonts w:ascii="Arial" w:hAnsi="Arial"/>
                <w:color w:val="1E293B"/>
                <w:sz w:val="17"/>
              </w:rPr>
              <w:t>In-browser compilation, syntax evaluation, and cyclomatic complexity inspector</w:t>
            </w:r>
          </w:p>
        </w:tc>
        <w:tc>
          <w:tcPr>
            <w:tcW w:type="dxa" w:w="2016"/>
            <w:shd w:fill="FFFFFF"/>
            <w:tcMar>
              <w:top w:w="90" w:type="dxa"/>
              <w:bottom w:w="90" w:type="dxa"/>
              <w:left w:w="150" w:type="dxa"/>
              <w:right w:w="150" w:type="dxa"/>
            </w:tcMar>
          </w:tcPr>
          <w:p>
            <w:pPr>
              <w:jc w:val="left"/>
            </w:pPr>
            <w:r>
              <w:rPr>
                <w:rFonts w:ascii="Arial" w:hAnsi="Arial"/>
                <w:color w:val="1E293B"/>
                <w:sz w:val="17"/>
              </w:rPr>
              <w:t>Instant client AST</w:t>
            </w:r>
          </w:p>
        </w:tc>
      </w:tr>
      <w:tr>
        <w:tc>
          <w:tcPr>
            <w:tcW w:type="dxa" w:w="2160"/>
            <w:shd w:fill="F8FAFC"/>
            <w:tcMar>
              <w:top w:w="90" w:type="dxa"/>
              <w:bottom w:w="90" w:type="dxa"/>
              <w:left w:w="150" w:type="dxa"/>
              <w:right w:w="150" w:type="dxa"/>
            </w:tcMar>
          </w:tcPr>
          <w:p>
            <w:pPr>
              <w:jc w:val="left"/>
            </w:pPr>
            <w:r>
              <w:rPr>
                <w:rFonts w:ascii="Arial" w:hAnsi="Arial"/>
                <w:color w:val="1E293B"/>
                <w:sz w:val="17"/>
              </w:rPr>
              <w:t>API Gateway / ASGI</w:t>
            </w:r>
          </w:p>
        </w:tc>
        <w:tc>
          <w:tcPr>
            <w:tcW w:type="dxa" w:w="2592"/>
            <w:shd w:fill="F8FAFC"/>
            <w:tcMar>
              <w:top w:w="90" w:type="dxa"/>
              <w:bottom w:w="90" w:type="dxa"/>
              <w:left w:w="150" w:type="dxa"/>
              <w:right w:w="150" w:type="dxa"/>
            </w:tcMar>
          </w:tcPr>
          <w:p>
            <w:pPr>
              <w:jc w:val="left"/>
            </w:pPr>
            <w:r>
              <w:rPr>
                <w:rFonts w:ascii="Arial" w:hAnsi="Arial"/>
                <w:color w:val="1E293B"/>
                <w:sz w:val="17"/>
              </w:rPr>
              <w:t>FastAPI (Python 3.12/3.14)</w:t>
            </w:r>
          </w:p>
        </w:tc>
        <w:tc>
          <w:tcPr>
            <w:tcW w:type="dxa" w:w="3168"/>
            <w:shd w:fill="F8FAFC"/>
            <w:tcMar>
              <w:top w:w="90" w:type="dxa"/>
              <w:bottom w:w="90" w:type="dxa"/>
              <w:left w:w="150" w:type="dxa"/>
              <w:right w:w="150" w:type="dxa"/>
            </w:tcMar>
          </w:tcPr>
          <w:p>
            <w:pPr>
              <w:jc w:val="left"/>
            </w:pPr>
            <w:r>
              <w:rPr>
                <w:rFonts w:ascii="Arial" w:hAnsi="Arial"/>
                <w:color w:val="1E293B"/>
                <w:sz w:val="17"/>
              </w:rPr>
              <w:t>High-performance non-blocking async REST services &amp; OpenAPI 3.1 generation</w:t>
            </w:r>
          </w:p>
        </w:tc>
        <w:tc>
          <w:tcPr>
            <w:tcW w:type="dxa" w:w="2016"/>
            <w:shd w:fill="F8FAFC"/>
            <w:tcMar>
              <w:top w:w="90" w:type="dxa"/>
              <w:bottom w:w="90" w:type="dxa"/>
              <w:left w:w="150" w:type="dxa"/>
              <w:right w:w="150" w:type="dxa"/>
            </w:tcMar>
          </w:tcPr>
          <w:p>
            <w:pPr>
              <w:jc w:val="left"/>
            </w:pPr>
            <w:r>
              <w:rPr>
                <w:rFonts w:ascii="Arial" w:hAnsi="Arial"/>
                <w:color w:val="1E293B"/>
                <w:sz w:val="17"/>
              </w:rPr>
              <w:t>p95 &lt; 45ms latency</w:t>
            </w:r>
          </w:p>
        </w:tc>
      </w:tr>
      <w:tr>
        <w:tc>
          <w:tcPr>
            <w:tcW w:type="dxa" w:w="2160"/>
            <w:shd w:fill="FFFFFF"/>
            <w:tcMar>
              <w:top w:w="90" w:type="dxa"/>
              <w:bottom w:w="90" w:type="dxa"/>
              <w:left w:w="150" w:type="dxa"/>
              <w:right w:w="150" w:type="dxa"/>
            </w:tcMar>
          </w:tcPr>
          <w:p>
            <w:pPr>
              <w:jc w:val="left"/>
            </w:pPr>
            <w:r>
              <w:rPr>
                <w:rFonts w:ascii="Arial" w:hAnsi="Arial"/>
                <w:color w:val="1E293B"/>
                <w:sz w:val="17"/>
              </w:rPr>
              <w:t>ASGI Web Server</w:t>
            </w:r>
          </w:p>
        </w:tc>
        <w:tc>
          <w:tcPr>
            <w:tcW w:type="dxa" w:w="2592"/>
            <w:shd w:fill="FFFFFF"/>
            <w:tcMar>
              <w:top w:w="90" w:type="dxa"/>
              <w:bottom w:w="90" w:type="dxa"/>
              <w:left w:w="150" w:type="dxa"/>
              <w:right w:w="150" w:type="dxa"/>
            </w:tcMar>
          </w:tcPr>
          <w:p>
            <w:pPr>
              <w:jc w:val="left"/>
            </w:pPr>
            <w:r>
              <w:rPr>
                <w:rFonts w:ascii="Arial" w:hAnsi="Arial"/>
                <w:color w:val="1E293B"/>
                <w:sz w:val="17"/>
              </w:rPr>
              <w:t>Uvicorn (uvloop)</w:t>
            </w:r>
          </w:p>
        </w:tc>
        <w:tc>
          <w:tcPr>
            <w:tcW w:type="dxa" w:w="3168"/>
            <w:shd w:fill="FFFFFF"/>
            <w:tcMar>
              <w:top w:w="90" w:type="dxa"/>
              <w:bottom w:w="90" w:type="dxa"/>
              <w:left w:w="150" w:type="dxa"/>
              <w:right w:w="150" w:type="dxa"/>
            </w:tcMar>
          </w:tcPr>
          <w:p>
            <w:pPr>
              <w:jc w:val="left"/>
            </w:pPr>
            <w:r>
              <w:rPr>
                <w:rFonts w:ascii="Arial" w:hAnsi="Arial"/>
                <w:color w:val="1E293B"/>
                <w:sz w:val="17"/>
              </w:rPr>
              <w:t>Asynchronous event-loop execution engine supporting high concurrency</w:t>
            </w:r>
          </w:p>
        </w:tc>
        <w:tc>
          <w:tcPr>
            <w:tcW w:type="dxa" w:w="2016"/>
            <w:shd w:fill="FFFFFF"/>
            <w:tcMar>
              <w:top w:w="90" w:type="dxa"/>
              <w:bottom w:w="90" w:type="dxa"/>
              <w:left w:w="150" w:type="dxa"/>
              <w:right w:w="150" w:type="dxa"/>
            </w:tcMar>
          </w:tcPr>
          <w:p>
            <w:pPr>
              <w:jc w:val="left"/>
            </w:pPr>
            <w:r>
              <w:rPr>
                <w:rFonts w:ascii="Arial" w:hAnsi="Arial"/>
                <w:color w:val="1E293B"/>
                <w:sz w:val="17"/>
              </w:rPr>
              <w:t>15,000+ connections</w:t>
            </w:r>
          </w:p>
        </w:tc>
      </w:tr>
      <w:tr>
        <w:tc>
          <w:tcPr>
            <w:tcW w:type="dxa" w:w="2160"/>
            <w:shd w:fill="F8FAFC"/>
            <w:tcMar>
              <w:top w:w="90" w:type="dxa"/>
              <w:bottom w:w="90" w:type="dxa"/>
              <w:left w:w="150" w:type="dxa"/>
              <w:right w:w="150" w:type="dxa"/>
            </w:tcMar>
          </w:tcPr>
          <w:p>
            <w:pPr>
              <w:jc w:val="left"/>
            </w:pPr>
            <w:r>
              <w:rPr>
                <w:rFonts w:ascii="Arial" w:hAnsi="Arial"/>
                <w:color w:val="1E293B"/>
                <w:sz w:val="17"/>
              </w:rPr>
              <w:t>Real-Time Broker</w:t>
            </w:r>
          </w:p>
        </w:tc>
        <w:tc>
          <w:tcPr>
            <w:tcW w:type="dxa" w:w="2592"/>
            <w:shd w:fill="F8FAFC"/>
            <w:tcMar>
              <w:top w:w="90" w:type="dxa"/>
              <w:bottom w:w="90" w:type="dxa"/>
              <w:left w:w="150" w:type="dxa"/>
              <w:right w:w="150" w:type="dxa"/>
            </w:tcMar>
          </w:tcPr>
          <w:p>
            <w:pPr>
              <w:jc w:val="left"/>
            </w:pPr>
            <w:r>
              <w:rPr>
                <w:rFonts w:ascii="Arial" w:hAnsi="Arial"/>
                <w:color w:val="1E293B"/>
                <w:sz w:val="17"/>
              </w:rPr>
              <w:t>Server-Sent Events (SSE)</w:t>
            </w:r>
          </w:p>
        </w:tc>
        <w:tc>
          <w:tcPr>
            <w:tcW w:type="dxa" w:w="3168"/>
            <w:shd w:fill="F8FAFC"/>
            <w:tcMar>
              <w:top w:w="90" w:type="dxa"/>
              <w:bottom w:w="90" w:type="dxa"/>
              <w:left w:w="150" w:type="dxa"/>
              <w:right w:w="150" w:type="dxa"/>
            </w:tcMar>
          </w:tcPr>
          <w:p>
            <w:pPr>
              <w:jc w:val="left"/>
            </w:pPr>
            <w:r>
              <w:rPr>
                <w:rFonts w:ascii="Arial" w:hAnsi="Arial"/>
                <w:color w:val="1E293B"/>
                <w:sz w:val="17"/>
              </w:rPr>
              <w:t>Unidirectional HTTP text/event-stream broadcast for live telemetry &amp; drives</w:t>
            </w:r>
          </w:p>
        </w:tc>
        <w:tc>
          <w:tcPr>
            <w:tcW w:type="dxa" w:w="2016"/>
            <w:shd w:fill="F8FAFC"/>
            <w:tcMar>
              <w:top w:w="90" w:type="dxa"/>
              <w:bottom w:w="90" w:type="dxa"/>
              <w:left w:w="150" w:type="dxa"/>
              <w:right w:w="150" w:type="dxa"/>
            </w:tcMar>
          </w:tcPr>
          <w:p>
            <w:pPr>
              <w:jc w:val="left"/>
            </w:pPr>
            <w:r>
              <w:rPr>
                <w:rFonts w:ascii="Arial" w:hAnsi="Arial"/>
                <w:color w:val="1E293B"/>
                <w:sz w:val="17"/>
              </w:rPr>
              <w:t>Latency &lt; 100ms</w:t>
            </w:r>
          </w:p>
        </w:tc>
      </w:tr>
      <w:tr>
        <w:tc>
          <w:tcPr>
            <w:tcW w:type="dxa" w:w="2160"/>
            <w:shd w:fill="FFFFFF"/>
            <w:tcMar>
              <w:top w:w="90" w:type="dxa"/>
              <w:bottom w:w="90" w:type="dxa"/>
              <w:left w:w="150" w:type="dxa"/>
              <w:right w:w="150" w:type="dxa"/>
            </w:tcMar>
          </w:tcPr>
          <w:p>
            <w:pPr>
              <w:jc w:val="left"/>
            </w:pPr>
            <w:r>
              <w:rPr>
                <w:rFonts w:ascii="Arial" w:hAnsi="Arial"/>
                <w:color w:val="1E293B"/>
                <w:sz w:val="17"/>
              </w:rPr>
              <w:t>Data Validation</w:t>
            </w:r>
          </w:p>
        </w:tc>
        <w:tc>
          <w:tcPr>
            <w:tcW w:type="dxa" w:w="2592"/>
            <w:shd w:fill="FFFFFF"/>
            <w:tcMar>
              <w:top w:w="90" w:type="dxa"/>
              <w:bottom w:w="90" w:type="dxa"/>
              <w:left w:w="150" w:type="dxa"/>
              <w:right w:w="150" w:type="dxa"/>
            </w:tcMar>
          </w:tcPr>
          <w:p>
            <w:pPr>
              <w:jc w:val="left"/>
            </w:pPr>
            <w:r>
              <w:rPr>
                <w:rFonts w:ascii="Arial" w:hAnsi="Arial"/>
                <w:color w:val="1E293B"/>
                <w:sz w:val="17"/>
              </w:rPr>
              <w:t>Pydantic v2</w:t>
            </w:r>
          </w:p>
        </w:tc>
        <w:tc>
          <w:tcPr>
            <w:tcW w:type="dxa" w:w="3168"/>
            <w:shd w:fill="FFFFFF"/>
            <w:tcMar>
              <w:top w:w="90" w:type="dxa"/>
              <w:bottom w:w="90" w:type="dxa"/>
              <w:left w:w="150" w:type="dxa"/>
              <w:right w:w="150" w:type="dxa"/>
            </w:tcMar>
          </w:tcPr>
          <w:p>
            <w:pPr>
              <w:jc w:val="left"/>
            </w:pPr>
            <w:r>
              <w:rPr>
                <w:rFonts w:ascii="Arial" w:hAnsi="Arial"/>
                <w:color w:val="1E293B"/>
                <w:sz w:val="17"/>
              </w:rPr>
              <w:t>Strict model serialization, input sanitization, and runtime schema enforcement</w:t>
            </w:r>
          </w:p>
        </w:tc>
        <w:tc>
          <w:tcPr>
            <w:tcW w:type="dxa" w:w="2016"/>
            <w:shd w:fill="FFFFFF"/>
            <w:tcMar>
              <w:top w:w="90" w:type="dxa"/>
              <w:bottom w:w="90" w:type="dxa"/>
              <w:left w:w="150" w:type="dxa"/>
              <w:right w:w="150" w:type="dxa"/>
            </w:tcMar>
          </w:tcPr>
          <w:p>
            <w:pPr>
              <w:jc w:val="left"/>
            </w:pPr>
            <w:r>
              <w:rPr>
                <w:rFonts w:ascii="Arial" w:hAnsi="Arial"/>
                <w:color w:val="1E293B"/>
                <w:sz w:val="17"/>
              </w:rPr>
              <w:t>&lt; 1ms validation</w:t>
            </w:r>
          </w:p>
        </w:tc>
      </w:tr>
      <w:tr>
        <w:tc>
          <w:tcPr>
            <w:tcW w:type="dxa" w:w="2160"/>
            <w:shd w:fill="F8FAFC"/>
            <w:tcMar>
              <w:top w:w="90" w:type="dxa"/>
              <w:bottom w:w="90" w:type="dxa"/>
              <w:left w:w="150" w:type="dxa"/>
              <w:right w:w="150" w:type="dxa"/>
            </w:tcMar>
          </w:tcPr>
          <w:p>
            <w:pPr>
              <w:jc w:val="left"/>
            </w:pPr>
            <w:r>
              <w:rPr>
                <w:rFonts w:ascii="Arial" w:hAnsi="Arial"/>
                <w:color w:val="1E293B"/>
                <w:sz w:val="17"/>
              </w:rPr>
              <w:t>Persistence Engine</w:t>
            </w:r>
          </w:p>
        </w:tc>
        <w:tc>
          <w:tcPr>
            <w:tcW w:type="dxa" w:w="2592"/>
            <w:shd w:fill="F8FAFC"/>
            <w:tcMar>
              <w:top w:w="90" w:type="dxa"/>
              <w:bottom w:w="90" w:type="dxa"/>
              <w:left w:w="150" w:type="dxa"/>
              <w:right w:w="150" w:type="dxa"/>
            </w:tcMar>
          </w:tcPr>
          <w:p>
            <w:pPr>
              <w:jc w:val="left"/>
            </w:pPr>
            <w:r>
              <w:rPr>
                <w:rFonts w:ascii="Arial" w:hAnsi="Arial"/>
                <w:color w:val="1E293B"/>
                <w:sz w:val="17"/>
              </w:rPr>
              <w:t>Zero-Loss Canonical Store</w:t>
            </w:r>
          </w:p>
        </w:tc>
        <w:tc>
          <w:tcPr>
            <w:tcW w:type="dxa" w:w="3168"/>
            <w:shd w:fill="F8FAFC"/>
            <w:tcMar>
              <w:top w:w="90" w:type="dxa"/>
              <w:bottom w:w="90" w:type="dxa"/>
              <w:left w:w="150" w:type="dxa"/>
              <w:right w:w="150" w:type="dxa"/>
            </w:tcMar>
          </w:tcPr>
          <w:p>
            <w:pPr>
              <w:jc w:val="left"/>
            </w:pPr>
            <w:r>
              <w:rPr>
                <w:rFonts w:ascii="Arial" w:hAnsi="Arial"/>
                <w:color w:val="1E293B"/>
                <w:sz w:val="17"/>
              </w:rPr>
              <w:t>In-memory indexed dictionary with POSIX atomic temporary file replacement (os.replace)</w:t>
            </w:r>
          </w:p>
        </w:tc>
        <w:tc>
          <w:tcPr>
            <w:tcW w:type="dxa" w:w="2016"/>
            <w:shd w:fill="F8FAFC"/>
            <w:tcMar>
              <w:top w:w="90" w:type="dxa"/>
              <w:bottom w:w="90" w:type="dxa"/>
              <w:left w:w="150" w:type="dxa"/>
              <w:right w:w="150" w:type="dxa"/>
            </w:tcMar>
          </w:tcPr>
          <w:p>
            <w:pPr>
              <w:jc w:val="left"/>
            </w:pPr>
            <w:r>
              <w:rPr>
                <w:rFonts w:ascii="Arial" w:hAnsi="Arial"/>
                <w:color w:val="1E293B"/>
                <w:sz w:val="17"/>
              </w:rPr>
              <w:t>Zero write loss</w:t>
            </w:r>
          </w:p>
        </w:tc>
      </w:tr>
      <w:tr>
        <w:tc>
          <w:tcPr>
            <w:tcW w:type="dxa" w:w="2160"/>
            <w:shd w:fill="FFFFFF"/>
            <w:tcMar>
              <w:top w:w="90" w:type="dxa"/>
              <w:bottom w:w="90" w:type="dxa"/>
              <w:left w:w="150" w:type="dxa"/>
              <w:right w:w="150" w:type="dxa"/>
            </w:tcMar>
          </w:tcPr>
          <w:p>
            <w:pPr>
              <w:jc w:val="left"/>
            </w:pPr>
            <w:r>
              <w:rPr>
                <w:rFonts w:ascii="Arial" w:hAnsi="Arial"/>
                <w:color w:val="1E293B"/>
                <w:sz w:val="17"/>
              </w:rPr>
              <w:t>Reverse Proxy</w:t>
            </w:r>
          </w:p>
        </w:tc>
        <w:tc>
          <w:tcPr>
            <w:tcW w:type="dxa" w:w="2592"/>
            <w:shd w:fill="FFFFFF"/>
            <w:tcMar>
              <w:top w:w="90" w:type="dxa"/>
              <w:bottom w:w="90" w:type="dxa"/>
              <w:left w:w="150" w:type="dxa"/>
              <w:right w:w="150" w:type="dxa"/>
            </w:tcMar>
          </w:tcPr>
          <w:p>
            <w:pPr>
              <w:jc w:val="left"/>
            </w:pPr>
            <w:r>
              <w:rPr>
                <w:rFonts w:ascii="Arial" w:hAnsi="Arial"/>
                <w:color w:val="1E293B"/>
                <w:sz w:val="17"/>
              </w:rPr>
              <w:t>Nginx (Alpine)</w:t>
            </w:r>
          </w:p>
        </w:tc>
        <w:tc>
          <w:tcPr>
            <w:tcW w:type="dxa" w:w="3168"/>
            <w:shd w:fill="FFFFFF"/>
            <w:tcMar>
              <w:top w:w="90" w:type="dxa"/>
              <w:bottom w:w="90" w:type="dxa"/>
              <w:left w:w="150" w:type="dxa"/>
              <w:right w:w="150" w:type="dxa"/>
            </w:tcMar>
          </w:tcPr>
          <w:p>
            <w:pPr>
              <w:jc w:val="left"/>
            </w:pPr>
            <w:r>
              <w:rPr>
                <w:rFonts w:ascii="Arial" w:hAnsi="Arial"/>
                <w:color w:val="1E293B"/>
                <w:sz w:val="17"/>
              </w:rPr>
              <w:t>SSL termination, gzip/brotli compression, rate limiting, and static asset host</w:t>
            </w:r>
          </w:p>
        </w:tc>
        <w:tc>
          <w:tcPr>
            <w:tcW w:type="dxa" w:w="2016"/>
            <w:shd w:fill="FFFFFF"/>
            <w:tcMar>
              <w:top w:w="90" w:type="dxa"/>
              <w:bottom w:w="90" w:type="dxa"/>
              <w:left w:w="150" w:type="dxa"/>
              <w:right w:w="150" w:type="dxa"/>
            </w:tcMar>
          </w:tcPr>
          <w:p>
            <w:pPr>
              <w:jc w:val="left"/>
            </w:pPr>
            <w:r>
              <w:rPr>
                <w:rFonts w:ascii="Arial" w:hAnsi="Arial"/>
                <w:color w:val="1E293B"/>
                <w:sz w:val="17"/>
              </w:rPr>
              <w:t>Sub-5ms edge cache</w:t>
            </w:r>
          </w:p>
        </w:tc>
      </w:tr>
      <w:tr>
        <w:tc>
          <w:tcPr>
            <w:tcW w:type="dxa" w:w="2160"/>
            <w:shd w:fill="F8FAFC"/>
            <w:tcMar>
              <w:top w:w="90" w:type="dxa"/>
              <w:bottom w:w="90" w:type="dxa"/>
              <w:left w:w="150" w:type="dxa"/>
              <w:right w:w="150" w:type="dxa"/>
            </w:tcMar>
          </w:tcPr>
          <w:p>
            <w:pPr>
              <w:jc w:val="left"/>
            </w:pPr>
            <w:r>
              <w:rPr>
                <w:rFonts w:ascii="Arial" w:hAnsi="Arial"/>
                <w:color w:val="1E293B"/>
                <w:sz w:val="17"/>
              </w:rPr>
              <w:t>Containerization</w:t>
            </w:r>
          </w:p>
        </w:tc>
        <w:tc>
          <w:tcPr>
            <w:tcW w:type="dxa" w:w="2592"/>
            <w:shd w:fill="F8FAFC"/>
            <w:tcMar>
              <w:top w:w="90" w:type="dxa"/>
              <w:bottom w:w="90" w:type="dxa"/>
              <w:left w:w="150" w:type="dxa"/>
              <w:right w:w="150" w:type="dxa"/>
            </w:tcMar>
          </w:tcPr>
          <w:p>
            <w:pPr>
              <w:jc w:val="left"/>
            </w:pPr>
            <w:r>
              <w:rPr>
                <w:rFonts w:ascii="Arial" w:hAnsi="Arial"/>
                <w:color w:val="1E293B"/>
                <w:sz w:val="17"/>
              </w:rPr>
              <w:t>Docker &amp; Docker Compose</w:t>
            </w:r>
          </w:p>
        </w:tc>
        <w:tc>
          <w:tcPr>
            <w:tcW w:type="dxa" w:w="3168"/>
            <w:shd w:fill="F8FAFC"/>
            <w:tcMar>
              <w:top w:w="90" w:type="dxa"/>
              <w:bottom w:w="90" w:type="dxa"/>
              <w:left w:w="150" w:type="dxa"/>
              <w:right w:w="150" w:type="dxa"/>
            </w:tcMar>
          </w:tcPr>
          <w:p>
            <w:pPr>
              <w:jc w:val="left"/>
            </w:pPr>
            <w:r>
              <w:rPr>
                <w:rFonts w:ascii="Arial" w:hAnsi="Arial"/>
                <w:color w:val="1E293B"/>
                <w:sz w:val="17"/>
              </w:rPr>
              <w:t>Multi-stage build isolating non-root execution (appuser:1001)</w:t>
            </w:r>
          </w:p>
        </w:tc>
        <w:tc>
          <w:tcPr>
            <w:tcW w:type="dxa" w:w="2016"/>
            <w:shd w:fill="F8FAFC"/>
            <w:tcMar>
              <w:top w:w="90" w:type="dxa"/>
              <w:bottom w:w="90" w:type="dxa"/>
              <w:left w:w="150" w:type="dxa"/>
              <w:right w:w="150" w:type="dxa"/>
            </w:tcMar>
          </w:tcPr>
          <w:p>
            <w:pPr>
              <w:jc w:val="left"/>
            </w:pPr>
            <w:r>
              <w:rPr>
                <w:rFonts w:ascii="Arial" w:hAnsi="Arial"/>
                <w:color w:val="1E293B"/>
                <w:sz w:val="17"/>
              </w:rPr>
              <w:t>Single-command up</w:t>
            </w:r>
          </w:p>
        </w:tc>
      </w:tr>
    </w:tbl>
    <w:p>
      <w:pPr>
        <w:spacing w:after="240"/>
      </w:pPr>
    </w:p>
    <w:p>
      <w:pPr>
        <w:pStyle w:val="Heading1"/>
      </w:pPr>
      <w:r>
        <w:rPr>
          <w:b/>
          <w:color w:val="1E1B4B"/>
          <w:sz w:val="28"/>
        </w:rPr>
        <w:t>3. Frontend Architecture &amp; Edge Computing</w:t>
      </w:r>
    </w:p>
    <w:p>
      <w:pPr>
        <w:spacing w:line="300" w:lineRule="auto"/>
      </w:pPr>
      <w:r>
        <w:t>The frontend is engineered with an industrial Bento Grid layout optimized for maximum information density without cognitive clutter. A critical architectural paradigm is client-side edge computing, which evaluates candidate behavioral and proctoring telemetry directly inside the browser, eliminating server bandwidth bottlenecks and privacy risks.</w:t>
      </w:r>
    </w:p>
    <w:p>
      <w:pPr>
        <w:pStyle w:val="ListBullet"/>
        <w:spacing w:after="60"/>
      </w:pPr>
      <w:r>
        <w:rPr>
          <w:b/>
          <w:color w:val="312E81"/>
        </w:rPr>
        <w:t xml:space="preserve">Web Audio API Proctoring: </w:t>
      </w:r>
      <w:r>
        <w:t>An AudioContext instance combined with a ScriptProcessorNode samples ambient background audio every 100ms. By computing the Root Mean Square (RMS) decibel variance, whispered coaching is identified without recording or exporting acoustic streams.</w:t>
      </w:r>
    </w:p>
    <w:p>
      <w:pPr>
        <w:pStyle w:val="ListBullet"/>
        <w:spacing w:after="60"/>
      </w:pPr>
      <w:r>
        <w:rPr>
          <w:b/>
          <w:color w:val="312E81"/>
        </w:rPr>
        <w:t xml:space="preserve">MediaStream API &amp; Canvas Gaze Tracking: </w:t>
      </w:r>
      <w:r>
        <w:t>Camera frames are captured to an off-screen HTML5 &lt;canvas&gt;. Facial landmarks evaluate pitch and yaw deflection angles; deviations exceeding 28 degrees for longer than 3.5 seconds log a gaze strike.</w:t>
      </w:r>
    </w:p>
    <w:p>
      <w:pPr>
        <w:pStyle w:val="ListBullet"/>
        <w:spacing w:after="60"/>
      </w:pPr>
      <w:r>
        <w:rPr>
          <w:b/>
          <w:color w:val="312E81"/>
        </w:rPr>
        <w:t xml:space="preserve">Page Visibility Interception: </w:t>
      </w:r>
      <w:r>
        <w:t>Hooks document.visibilityState and window.onblur to detect split-screen or multi-monitor cheating. Three consecutive infractions automatically freeze the candidate's active assessment session.</w:t>
      </w:r>
    </w:p>
    <w:p>
      <w:pPr>
        <w:pStyle w:val="ListBullet"/>
        <w:spacing w:after="60"/>
      </w:pPr>
      <w:r>
        <w:rPr>
          <w:b/>
          <w:color w:val="312E81"/>
        </w:rPr>
        <w:t xml:space="preserve">URL-First State Architecture: </w:t>
      </w:r>
      <w:r>
        <w:t>All filter parameters, active tabs, and assessment states are synchronized to URL query parameters, ensuring full reload recovery and shareability across devices.</w:t>
      </w:r>
    </w:p>
    <w:p>
      <w:pPr>
        <w:pStyle w:val="ListBullet"/>
        <w:spacing w:after="60"/>
      </w:pPr>
      <w:r>
        <w:rPr>
          <w:b/>
          <w:color w:val="312E81"/>
        </w:rPr>
        <w:t xml:space="preserve">Subtree Error Boundary Isolation: </w:t>
      </w:r>
      <w:r>
        <w:t>Complex canvas, video HUD, and CodeLab components are wrapped in independent React ErrorBoundary handlers, ensuring localized component failures never crash the parent application.</w:t>
      </w:r>
    </w:p>
    <w:p>
      <w:pPr>
        <w:spacing w:after="240"/>
      </w:pPr>
    </w:p>
    <w:p>
      <w:pPr>
        <w:pStyle w:val="Heading1"/>
      </w:pPr>
      <w:r>
        <w:rPr>
          <w:b/>
          <w:color w:val="1E1B4B"/>
          <w:sz w:val="28"/>
        </w:rPr>
        <w:t>4. Backend Service Architecture &amp; Real-Time Broker</w:t>
      </w:r>
    </w:p>
    <w:p>
      <w:pPr>
        <w:spacing w:line="300" w:lineRule="auto"/>
      </w:pPr>
      <w:r>
        <w:t>The FastAPI service tier leverages asynchronous coroutines for all I/O-bound interactions. Mathematical algorithms requiring CPU cycles (such as Verhoeff permutation lookups, AST graph parsing, and Laplacian variance calculations) are dispatched to non-blocking thread workers via anyio.to_thread.run_sync to keep the ASGI event loop completely unblocked.</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36" w:space="0" w:color="0284C7"/>
              <w:top w:val="none"/>
              <w:right w:val="none"/>
              <w:bottom w:val="none"/>
            </w:tcBorders>
          </w:tcPr>
          <w:p>
            <w:pPr>
              <w:spacing w:before="40" w:after="40"/>
            </w:pPr>
            <w:r>
              <w:rPr>
                <w:rFonts w:ascii="Arial" w:hAnsi="Arial"/>
                <w:b/>
                <w:color w:val="312E81"/>
                <w:sz w:val="18"/>
              </w:rPr>
              <w:t>[COMMUNICATION PROTOCOL DECISION]</w:t>
              <w:br/>
            </w:r>
            <w:r>
              <w:rPr>
                <w:rFonts w:ascii="Arial" w:hAnsi="Arial"/>
                <w:color w:val="334155"/>
                <w:sz w:val="19"/>
              </w:rPr>
              <w:t>Server-Sent Events (SSE) vs WebSockets:</w:t>
              <w:br/>
              <w:t>HireX deliberately utilizes HTTP/1.1 text/event-stream (Server-Sent Events) rather than WebSockets. SSE operates natively over corporate proxies and college firewalls without port blocking, consumes 70% less server memory per active client, and features built-in automatic browser reconnection using the Last-Event-ID header.</w:t>
            </w:r>
          </w:p>
        </w:tc>
      </w:tr>
    </w:tbl>
    <w:p>
      <w:pPr>
        <w:spacing w:after="80"/>
      </w:pPr>
    </w:p>
    <w:p>
      <w:pPr>
        <w:spacing w:after="240"/>
      </w:pPr>
    </w:p>
    <w:p>
      <w:pPr>
        <w:pStyle w:val="Heading1"/>
      </w:pPr>
      <w:r>
        <w:rPr>
          <w:b/>
          <w:color w:val="1E1B4B"/>
          <w:sz w:val="28"/>
        </w:rPr>
        <w:t>5. Algorithmic Intelligence &amp; Sovereign Math Engines</w:t>
      </w:r>
    </w:p>
    <w:tbl>
      <w:tblPr>
        <w:tblW w:type="auto" w:w="0"/>
        <w:jc w:val="center"/>
        <w:tblLook w:firstColumn="1" w:firstRow="1" w:lastColumn="0" w:lastRow="0" w:noHBand="0" w:noVBand="1" w:val="04A0"/>
      </w:tblPr>
      <w:tblGrid>
        <w:gridCol w:w="2484"/>
        <w:gridCol w:w="2484"/>
        <w:gridCol w:w="2484"/>
        <w:gridCol w:w="2484"/>
      </w:tblGrid>
      <w:tr>
        <w:tc>
          <w:tcPr>
            <w:tcW w:type="dxa" w:w="2304"/>
            <w:shd w:fill="4F46E5"/>
            <w:tcMar>
              <w:top w:w="120" w:type="dxa"/>
              <w:bottom w:w="120" w:type="dxa"/>
              <w:left w:w="150" w:type="dxa"/>
              <w:right w:w="150" w:type="dxa"/>
            </w:tcMar>
          </w:tcPr>
          <w:p>
            <w:pPr>
              <w:jc w:val="left"/>
            </w:pPr>
            <w:r>
              <w:rPr>
                <w:rFonts w:ascii="Arial" w:hAnsi="Arial"/>
                <w:b/>
                <w:color w:val="FFFFFF"/>
                <w:sz w:val="17"/>
              </w:rPr>
              <w:t>Engine Name</w:t>
            </w:r>
          </w:p>
        </w:tc>
        <w:tc>
          <w:tcPr>
            <w:tcW w:type="dxa" w:w="2592"/>
            <w:shd w:fill="4F46E5"/>
            <w:tcMar>
              <w:top w:w="120" w:type="dxa"/>
              <w:bottom w:w="120" w:type="dxa"/>
              <w:left w:w="150" w:type="dxa"/>
              <w:right w:w="150" w:type="dxa"/>
            </w:tcMar>
          </w:tcPr>
          <w:p>
            <w:pPr>
              <w:jc w:val="left"/>
            </w:pPr>
            <w:r>
              <w:rPr>
                <w:rFonts w:ascii="Arial" w:hAnsi="Arial"/>
                <w:b/>
                <w:color w:val="FFFFFF"/>
                <w:sz w:val="17"/>
              </w:rPr>
              <w:t>Mathematical Foundation</w:t>
            </w:r>
          </w:p>
        </w:tc>
        <w:tc>
          <w:tcPr>
            <w:tcW w:type="dxa" w:w="3168"/>
            <w:shd w:fill="4F46E5"/>
            <w:tcMar>
              <w:top w:w="120" w:type="dxa"/>
              <w:bottom w:w="120" w:type="dxa"/>
              <w:left w:w="150" w:type="dxa"/>
              <w:right w:w="150" w:type="dxa"/>
            </w:tcMar>
          </w:tcPr>
          <w:p>
            <w:pPr>
              <w:jc w:val="left"/>
            </w:pPr>
            <w:r>
              <w:rPr>
                <w:rFonts w:ascii="Arial" w:hAnsi="Arial"/>
                <w:b/>
                <w:color w:val="FFFFFF"/>
                <w:sz w:val="17"/>
              </w:rPr>
              <w:t>Formulation &amp; Execution Logic</w:t>
            </w:r>
          </w:p>
        </w:tc>
        <w:tc>
          <w:tcPr>
            <w:tcW w:type="dxa" w:w="1872"/>
            <w:shd w:fill="4F46E5"/>
            <w:tcMar>
              <w:top w:w="120" w:type="dxa"/>
              <w:bottom w:w="120" w:type="dxa"/>
              <w:left w:w="150" w:type="dxa"/>
              <w:right w:w="150" w:type="dxa"/>
            </w:tcMar>
          </w:tcPr>
          <w:p>
            <w:pPr>
              <w:jc w:val="left"/>
            </w:pPr>
            <w:r>
              <w:rPr>
                <w:rFonts w:ascii="Arial" w:hAnsi="Arial"/>
                <w:b/>
                <w:color w:val="FFFFFF"/>
                <w:sz w:val="17"/>
              </w:rPr>
              <w:t>Latency / Scope</w:t>
            </w:r>
          </w:p>
        </w:tc>
      </w:tr>
      <w:tr>
        <w:tc>
          <w:tcPr>
            <w:tcW w:type="dxa" w:w="2304"/>
            <w:shd w:fill="FFFFFF"/>
            <w:tcMar>
              <w:top w:w="90" w:type="dxa"/>
              <w:bottom w:w="90" w:type="dxa"/>
              <w:left w:w="150" w:type="dxa"/>
              <w:right w:w="150" w:type="dxa"/>
            </w:tcMar>
          </w:tcPr>
          <w:p>
            <w:pPr>
              <w:jc w:val="left"/>
            </w:pPr>
            <w:r>
              <w:rPr>
                <w:rFonts w:ascii="Arial" w:hAnsi="Arial"/>
                <w:color w:val="1E293B"/>
                <w:sz w:val="17"/>
              </w:rPr>
              <w:t>1. Verhoeff KYC Checksum</w:t>
            </w:r>
          </w:p>
        </w:tc>
        <w:tc>
          <w:tcPr>
            <w:tcW w:type="dxa" w:w="2592"/>
            <w:shd w:fill="FFFFFF"/>
            <w:tcMar>
              <w:top w:w="90" w:type="dxa"/>
              <w:bottom w:w="90" w:type="dxa"/>
              <w:left w:w="150" w:type="dxa"/>
              <w:right w:w="150" w:type="dxa"/>
            </w:tcMar>
          </w:tcPr>
          <w:p>
            <w:pPr>
              <w:jc w:val="left"/>
            </w:pPr>
            <w:r>
              <w:rPr>
                <w:rFonts w:ascii="Arial" w:hAnsi="Arial"/>
                <w:color w:val="1E293B"/>
                <w:sz w:val="17"/>
              </w:rPr>
              <w:t>Dihedral Group D5 Abstract Algebra</w:t>
            </w:r>
          </w:p>
        </w:tc>
        <w:tc>
          <w:tcPr>
            <w:tcW w:type="dxa" w:w="3168"/>
            <w:shd w:fill="FFFFFF"/>
            <w:tcMar>
              <w:top w:w="90" w:type="dxa"/>
              <w:bottom w:w="90" w:type="dxa"/>
              <w:left w:w="150" w:type="dxa"/>
              <w:right w:w="150" w:type="dxa"/>
            </w:tcMar>
          </w:tcPr>
          <w:p>
            <w:pPr>
              <w:jc w:val="left"/>
            </w:pPr>
            <w:r>
              <w:rPr>
                <w:rFonts w:ascii="Arial" w:hAnsi="Arial"/>
                <w:color w:val="1E293B"/>
                <w:sz w:val="17"/>
              </w:rPr>
              <w:t>Cayley table multiplication: Sum F(d_i, i) = d(...d(0, p(1, d_1))..., p(n, d_n)) = 0. 100% detection of single substitutions and transpositions.</w:t>
            </w:r>
          </w:p>
        </w:tc>
        <w:tc>
          <w:tcPr>
            <w:tcW w:type="dxa" w:w="1872"/>
            <w:shd w:fill="FFFFFF"/>
            <w:tcMar>
              <w:top w:w="90" w:type="dxa"/>
              <w:bottom w:w="90" w:type="dxa"/>
              <w:left w:w="150" w:type="dxa"/>
              <w:right w:w="150" w:type="dxa"/>
            </w:tcMar>
          </w:tcPr>
          <w:p>
            <w:pPr>
              <w:jc w:val="left"/>
            </w:pPr>
            <w:r>
              <w:rPr>
                <w:rFonts w:ascii="Arial" w:hAnsi="Arial"/>
                <w:color w:val="1E293B"/>
                <w:sz w:val="17"/>
              </w:rPr>
              <w:t>&lt; 0.4 ms</w:t>
              <w:br/>
              <w:t>12-digit Aadhaar</w:t>
            </w:r>
          </w:p>
        </w:tc>
      </w:tr>
      <w:tr>
        <w:tc>
          <w:tcPr>
            <w:tcW w:type="dxa" w:w="2304"/>
            <w:shd w:fill="F8FAFC"/>
            <w:tcMar>
              <w:top w:w="90" w:type="dxa"/>
              <w:bottom w:w="90" w:type="dxa"/>
              <w:left w:w="150" w:type="dxa"/>
              <w:right w:w="150" w:type="dxa"/>
            </w:tcMar>
          </w:tcPr>
          <w:p>
            <w:pPr>
              <w:jc w:val="left"/>
            </w:pPr>
            <w:r>
              <w:rPr>
                <w:rFonts w:ascii="Arial" w:hAnsi="Arial"/>
                <w:color w:val="1E293B"/>
                <w:sz w:val="17"/>
              </w:rPr>
              <w:t>2. Forensic Document Tamper Detector</w:t>
            </w:r>
          </w:p>
        </w:tc>
        <w:tc>
          <w:tcPr>
            <w:tcW w:type="dxa" w:w="2592"/>
            <w:shd w:fill="F8FAFC"/>
            <w:tcMar>
              <w:top w:w="90" w:type="dxa"/>
              <w:bottom w:w="90" w:type="dxa"/>
              <w:left w:w="150" w:type="dxa"/>
              <w:right w:w="150" w:type="dxa"/>
            </w:tcMar>
          </w:tcPr>
          <w:p>
            <w:pPr>
              <w:jc w:val="left"/>
            </w:pPr>
            <w:r>
              <w:rPr>
                <w:rFonts w:ascii="Arial" w:hAnsi="Arial"/>
                <w:color w:val="1E293B"/>
                <w:sz w:val="17"/>
              </w:rPr>
              <w:t>Discrete Spatial Filtering (Laplacian Variance)</w:t>
            </w:r>
          </w:p>
        </w:tc>
        <w:tc>
          <w:tcPr>
            <w:tcW w:type="dxa" w:w="3168"/>
            <w:shd w:fill="F8FAFC"/>
            <w:tcMar>
              <w:top w:w="90" w:type="dxa"/>
              <w:bottom w:w="90" w:type="dxa"/>
              <w:left w:w="150" w:type="dxa"/>
              <w:right w:w="150" w:type="dxa"/>
            </w:tcMar>
          </w:tcPr>
          <w:p>
            <w:pPr>
              <w:jc w:val="left"/>
            </w:pPr>
            <w:r>
              <w:rPr>
                <w:rFonts w:ascii="Arial" w:hAnsi="Arial"/>
                <w:color w:val="1E293B"/>
                <w:sz w:val="17"/>
              </w:rPr>
              <w:t>Nabla^2 I = 2nd order image derivative. Focus Measure sigma^2 = Var(Nabla^2 I). Images with sigma^2 &lt; 120.0 flagged as fake/blurred.</w:t>
            </w:r>
          </w:p>
        </w:tc>
        <w:tc>
          <w:tcPr>
            <w:tcW w:type="dxa" w:w="1872"/>
            <w:shd w:fill="F8FAFC"/>
            <w:tcMar>
              <w:top w:w="90" w:type="dxa"/>
              <w:bottom w:w="90" w:type="dxa"/>
              <w:left w:w="150" w:type="dxa"/>
              <w:right w:w="150" w:type="dxa"/>
            </w:tcMar>
          </w:tcPr>
          <w:p>
            <w:pPr>
              <w:jc w:val="left"/>
            </w:pPr>
            <w:r>
              <w:rPr>
                <w:rFonts w:ascii="Arial" w:hAnsi="Arial"/>
                <w:color w:val="1E293B"/>
                <w:sz w:val="17"/>
              </w:rPr>
              <w:t>&lt; 18 ms</w:t>
              <w:br/>
              <w:t>ID &amp; Certificates</w:t>
            </w:r>
          </w:p>
        </w:tc>
      </w:tr>
      <w:tr>
        <w:tc>
          <w:tcPr>
            <w:tcW w:type="dxa" w:w="2304"/>
            <w:shd w:fill="FFFFFF"/>
            <w:tcMar>
              <w:top w:w="90" w:type="dxa"/>
              <w:bottom w:w="90" w:type="dxa"/>
              <w:left w:w="150" w:type="dxa"/>
              <w:right w:w="150" w:type="dxa"/>
            </w:tcMar>
          </w:tcPr>
          <w:p>
            <w:pPr>
              <w:jc w:val="left"/>
            </w:pPr>
            <w:r>
              <w:rPr>
                <w:rFonts w:ascii="Arial" w:hAnsi="Arial"/>
                <w:color w:val="1E293B"/>
                <w:sz w:val="17"/>
              </w:rPr>
              <w:t>3. Explainable Vector &amp; Skill Matcher</w:t>
            </w:r>
          </w:p>
        </w:tc>
        <w:tc>
          <w:tcPr>
            <w:tcW w:type="dxa" w:w="2592"/>
            <w:shd w:fill="FFFFFF"/>
            <w:tcMar>
              <w:top w:w="90" w:type="dxa"/>
              <w:bottom w:w="90" w:type="dxa"/>
              <w:left w:w="150" w:type="dxa"/>
              <w:right w:w="150" w:type="dxa"/>
            </w:tcMar>
          </w:tcPr>
          <w:p>
            <w:pPr>
              <w:jc w:val="left"/>
            </w:pPr>
            <w:r>
              <w:rPr>
                <w:rFonts w:ascii="Arial" w:hAnsi="Arial"/>
                <w:color w:val="1E293B"/>
                <w:sz w:val="17"/>
              </w:rPr>
              <w:t>TF-IDF Cosine + Jaccard Set Overlap</w:t>
            </w:r>
          </w:p>
        </w:tc>
        <w:tc>
          <w:tcPr>
            <w:tcW w:type="dxa" w:w="3168"/>
            <w:shd w:fill="FFFFFF"/>
            <w:tcMar>
              <w:top w:w="90" w:type="dxa"/>
              <w:bottom w:w="90" w:type="dxa"/>
              <w:left w:w="150" w:type="dxa"/>
              <w:right w:w="150" w:type="dxa"/>
            </w:tcMar>
          </w:tcPr>
          <w:p>
            <w:pPr>
              <w:jc w:val="left"/>
            </w:pPr>
            <w:r>
              <w:rPr>
                <w:rFonts w:ascii="Arial" w:hAnsi="Arial"/>
                <w:color w:val="1E293B"/>
                <w:sz w:val="17"/>
              </w:rPr>
              <w:t>FitScore = 0.35 * Cosine(v_JD, v_Cand) + 0.40 * (|S_Cand cap S_JD| / |S_JD|) + 0.25 * ProofMultiplier. Transparent percentage fit.</w:t>
            </w:r>
          </w:p>
        </w:tc>
        <w:tc>
          <w:tcPr>
            <w:tcW w:type="dxa" w:w="1872"/>
            <w:shd w:fill="FFFFFF"/>
            <w:tcMar>
              <w:top w:w="90" w:type="dxa"/>
              <w:bottom w:w="90" w:type="dxa"/>
              <w:left w:w="150" w:type="dxa"/>
              <w:right w:w="150" w:type="dxa"/>
            </w:tcMar>
          </w:tcPr>
          <w:p>
            <w:pPr>
              <w:jc w:val="left"/>
            </w:pPr>
            <w:r>
              <w:rPr>
                <w:rFonts w:ascii="Arial" w:hAnsi="Arial"/>
                <w:color w:val="1E293B"/>
                <w:sz w:val="17"/>
              </w:rPr>
              <w:t>&lt; 3 ms</w:t>
              <w:br/>
              <w:t>Candidate-JD</w:t>
            </w:r>
          </w:p>
        </w:tc>
      </w:tr>
      <w:tr>
        <w:tc>
          <w:tcPr>
            <w:tcW w:type="dxa" w:w="2304"/>
            <w:shd w:fill="F8FAFC"/>
            <w:tcMar>
              <w:top w:w="90" w:type="dxa"/>
              <w:bottom w:w="90" w:type="dxa"/>
              <w:left w:w="150" w:type="dxa"/>
              <w:right w:w="150" w:type="dxa"/>
            </w:tcMar>
          </w:tcPr>
          <w:p>
            <w:pPr>
              <w:jc w:val="left"/>
            </w:pPr>
            <w:r>
              <w:rPr>
                <w:rFonts w:ascii="Arial" w:hAnsi="Arial"/>
                <w:color w:val="1E293B"/>
                <w:sz w:val="17"/>
              </w:rPr>
              <w:t>4. DevProof AST Code Quality Engine</w:t>
            </w:r>
          </w:p>
        </w:tc>
        <w:tc>
          <w:tcPr>
            <w:tcW w:type="dxa" w:w="2592"/>
            <w:shd w:fill="F8FAFC"/>
            <w:tcMar>
              <w:top w:w="90" w:type="dxa"/>
              <w:bottom w:w="90" w:type="dxa"/>
              <w:left w:w="150" w:type="dxa"/>
              <w:right w:w="150" w:type="dxa"/>
            </w:tcMar>
          </w:tcPr>
          <w:p>
            <w:pPr>
              <w:jc w:val="left"/>
            </w:pPr>
            <w:r>
              <w:rPr>
                <w:rFonts w:ascii="Arial" w:hAnsi="Arial"/>
                <w:color w:val="1E293B"/>
                <w:sz w:val="17"/>
              </w:rPr>
              <w:t>McCabe Cyclomatic &amp; Halstead Metric</w:t>
            </w:r>
          </w:p>
        </w:tc>
        <w:tc>
          <w:tcPr>
            <w:tcW w:type="dxa" w:w="3168"/>
            <w:shd w:fill="F8FAFC"/>
            <w:tcMar>
              <w:top w:w="90" w:type="dxa"/>
              <w:bottom w:w="90" w:type="dxa"/>
              <w:left w:w="150" w:type="dxa"/>
              <w:right w:w="150" w:type="dxa"/>
            </w:tcMar>
          </w:tcPr>
          <w:p>
            <w:pPr>
              <w:jc w:val="left"/>
            </w:pPr>
            <w:r>
              <w:rPr>
                <w:rFonts w:ascii="Arial" w:hAnsi="Arial"/>
                <w:color w:val="1E293B"/>
                <w:sz w:val="17"/>
              </w:rPr>
              <w:t>V(G) = E - N + 2P; Program Volume V_H = N * log2(eta). Audits branching modularity and flags AI-copied repetitive boilerplate.</w:t>
            </w:r>
          </w:p>
        </w:tc>
        <w:tc>
          <w:tcPr>
            <w:tcW w:type="dxa" w:w="1872"/>
            <w:shd w:fill="F8FAFC"/>
            <w:tcMar>
              <w:top w:w="90" w:type="dxa"/>
              <w:bottom w:w="90" w:type="dxa"/>
              <w:left w:w="150" w:type="dxa"/>
              <w:right w:w="150" w:type="dxa"/>
            </w:tcMar>
          </w:tcPr>
          <w:p>
            <w:pPr>
              <w:jc w:val="left"/>
            </w:pPr>
            <w:r>
              <w:rPr>
                <w:rFonts w:ascii="Arial" w:hAnsi="Arial"/>
                <w:color w:val="1E293B"/>
                <w:sz w:val="17"/>
              </w:rPr>
              <w:t>&lt; 15 ms</w:t>
              <w:br/>
              <w:t>Python / JS / Java</w:t>
            </w:r>
          </w:p>
        </w:tc>
      </w:tr>
      <w:tr>
        <w:tc>
          <w:tcPr>
            <w:tcW w:type="dxa" w:w="2304"/>
            <w:shd w:fill="FFFFFF"/>
            <w:tcMar>
              <w:top w:w="90" w:type="dxa"/>
              <w:bottom w:w="90" w:type="dxa"/>
              <w:left w:w="150" w:type="dxa"/>
              <w:right w:w="150" w:type="dxa"/>
            </w:tcMar>
          </w:tcPr>
          <w:p>
            <w:pPr>
              <w:jc w:val="left"/>
            </w:pPr>
            <w:r>
              <w:rPr>
                <w:rFonts w:ascii="Arial" w:hAnsi="Arial"/>
                <w:color w:val="1E293B"/>
                <w:sz w:val="17"/>
              </w:rPr>
              <w:t>5. Cognitive Agility Time-Decay Engine</w:t>
            </w:r>
          </w:p>
        </w:tc>
        <w:tc>
          <w:tcPr>
            <w:tcW w:type="dxa" w:w="2592"/>
            <w:shd w:fill="FFFFFF"/>
            <w:tcMar>
              <w:top w:w="90" w:type="dxa"/>
              <w:bottom w:w="90" w:type="dxa"/>
              <w:left w:w="150" w:type="dxa"/>
              <w:right w:w="150" w:type="dxa"/>
            </w:tcMar>
          </w:tcPr>
          <w:p>
            <w:pPr>
              <w:jc w:val="left"/>
            </w:pPr>
            <w:r>
              <w:rPr>
                <w:rFonts w:ascii="Arial" w:hAnsi="Arial"/>
                <w:color w:val="1E293B"/>
                <w:sz w:val="17"/>
              </w:rPr>
              <w:t>Logarithmic Time-Decay Modeling</w:t>
            </w:r>
          </w:p>
        </w:tc>
        <w:tc>
          <w:tcPr>
            <w:tcW w:type="dxa" w:w="3168"/>
            <w:shd w:fill="FFFFFF"/>
            <w:tcMar>
              <w:top w:w="90" w:type="dxa"/>
              <w:bottom w:w="90" w:type="dxa"/>
              <w:left w:w="150" w:type="dxa"/>
              <w:right w:w="150" w:type="dxa"/>
            </w:tcMar>
          </w:tcPr>
          <w:p>
            <w:pPr>
              <w:jc w:val="left"/>
            </w:pPr>
            <w:r>
              <w:rPr>
                <w:rFonts w:ascii="Arial" w:hAnsi="Arial"/>
                <w:color w:val="1E293B"/>
                <w:sz w:val="17"/>
              </w:rPr>
              <w:t>Score_i = [BasePoints * (1 - alpha * ln(1 + Delta_t / tau))] * Correct - beta * Mistakes^2. Detects automated bot clicks (Delta_t &lt; 600ms).</w:t>
            </w:r>
          </w:p>
        </w:tc>
        <w:tc>
          <w:tcPr>
            <w:tcW w:type="dxa" w:w="1872"/>
            <w:shd w:fill="FFFFFF"/>
            <w:tcMar>
              <w:top w:w="90" w:type="dxa"/>
              <w:bottom w:w="90" w:type="dxa"/>
              <w:left w:w="150" w:type="dxa"/>
              <w:right w:w="150" w:type="dxa"/>
            </w:tcMar>
          </w:tcPr>
          <w:p>
            <w:pPr>
              <w:jc w:val="left"/>
            </w:pPr>
            <w:r>
              <w:rPr>
                <w:rFonts w:ascii="Arial" w:hAnsi="Arial"/>
                <w:color w:val="1E293B"/>
                <w:sz w:val="17"/>
              </w:rPr>
              <w:t>&lt; 1 ms</w:t>
              <w:br/>
              <w:t>9 Mini-Games</w:t>
            </w:r>
          </w:p>
        </w:tc>
      </w:tr>
      <w:tr>
        <w:tc>
          <w:tcPr>
            <w:tcW w:type="dxa" w:w="2304"/>
            <w:shd w:fill="F8FAFC"/>
            <w:tcMar>
              <w:top w:w="90" w:type="dxa"/>
              <w:bottom w:w="90" w:type="dxa"/>
              <w:left w:w="150" w:type="dxa"/>
              <w:right w:w="150" w:type="dxa"/>
            </w:tcMar>
          </w:tcPr>
          <w:p>
            <w:pPr>
              <w:jc w:val="left"/>
            </w:pPr>
            <w:r>
              <w:rPr>
                <w:rFonts w:ascii="Arial" w:hAnsi="Arial"/>
                <w:color w:val="1E293B"/>
                <w:sz w:val="17"/>
              </w:rPr>
              <w:t>6. WhatsApp &amp; Email Deduplicator</w:t>
            </w:r>
          </w:p>
        </w:tc>
        <w:tc>
          <w:tcPr>
            <w:tcW w:type="dxa" w:w="2592"/>
            <w:shd w:fill="F8FAFC"/>
            <w:tcMar>
              <w:top w:w="90" w:type="dxa"/>
              <w:bottom w:w="90" w:type="dxa"/>
              <w:left w:w="150" w:type="dxa"/>
              <w:right w:w="150" w:type="dxa"/>
            </w:tcMar>
          </w:tcPr>
          <w:p>
            <w:pPr>
              <w:jc w:val="left"/>
            </w:pPr>
            <w:r>
              <w:rPr>
                <w:rFonts w:ascii="Arial" w:hAnsi="Arial"/>
                <w:color w:val="1E293B"/>
                <w:sz w:val="17"/>
              </w:rPr>
              <w:t>Token-Set Levenshtein &amp; Jaccard</w:t>
            </w:r>
          </w:p>
        </w:tc>
        <w:tc>
          <w:tcPr>
            <w:tcW w:type="dxa" w:w="3168"/>
            <w:shd w:fill="F8FAFC"/>
            <w:tcMar>
              <w:top w:w="90" w:type="dxa"/>
              <w:bottom w:w="90" w:type="dxa"/>
              <w:left w:w="150" w:type="dxa"/>
              <w:right w:w="150" w:type="dxa"/>
            </w:tcMar>
          </w:tcPr>
          <w:p>
            <w:pPr>
              <w:jc w:val="left"/>
            </w:pPr>
            <w:r>
              <w:rPr>
                <w:rFonts w:ascii="Arial" w:hAnsi="Arial"/>
                <w:color w:val="1E293B"/>
                <w:sz w:val="17"/>
              </w:rPr>
              <w:t>Sim(J1, J2) = lambda * Jaccard + (1 - lambda) * [1 - Levenshtein / max_len]. Threshold &gt;= 0.82 merges duplicate placement notices.</w:t>
            </w:r>
          </w:p>
        </w:tc>
        <w:tc>
          <w:tcPr>
            <w:tcW w:type="dxa" w:w="1872"/>
            <w:shd w:fill="F8FAFC"/>
            <w:tcMar>
              <w:top w:w="90" w:type="dxa"/>
              <w:bottom w:w="90" w:type="dxa"/>
              <w:left w:w="150" w:type="dxa"/>
              <w:right w:w="150" w:type="dxa"/>
            </w:tcMar>
          </w:tcPr>
          <w:p>
            <w:pPr>
              <w:jc w:val="left"/>
            </w:pPr>
            <w:r>
              <w:rPr>
                <w:rFonts w:ascii="Arial" w:hAnsi="Arial"/>
                <w:color w:val="1E293B"/>
                <w:sz w:val="17"/>
              </w:rPr>
              <w:t>&lt; 8 ms</w:t>
              <w:br/>
              <w:t>Job Circulars</w:t>
            </w:r>
          </w:p>
        </w:tc>
      </w:tr>
    </w:tbl>
    <w:p>
      <w:pPr>
        <w:spacing w:after="240"/>
      </w:pPr>
    </w:p>
    <w:p>
      <w:pPr>
        <w:pStyle w:val="Heading1"/>
      </w:pPr>
      <w:r>
        <w:rPr>
          <w:b/>
          <w:color w:val="1E1B4B"/>
          <w:sz w:val="28"/>
        </w:rPr>
        <w:t>6. Autonomous Placement Co-Pilot (ReAct Framework)</w:t>
      </w:r>
    </w:p>
    <w:p>
      <w:pPr>
        <w:spacing w:line="300" w:lineRule="auto"/>
      </w:pPr>
      <w:r>
        <w:t>The HireX Placement Co-Pilot is architected upon the ReAct (Reasoning + Acting) autonomous paradigm. Rather than generating speculative natural language, the agent executes structured reasoning steps and invokes sovereign internal tools:</w:t>
      </w:r>
    </w:p>
    <w:p>
      <w:pPr>
        <w:pStyle w:val="ListBullet"/>
        <w:spacing w:after="60"/>
      </w:pPr>
      <w:r>
        <w:rPr>
          <w:b/>
          <w:color w:val="4F46E5"/>
        </w:rPr>
        <w:t xml:space="preserve">Tool 1: get_student_profile(student_id): </w:t>
      </w:r>
      <w:r>
        <w:t>Fetches verified Skill Passport, code proofs, and proctoring audit trails.</w:t>
      </w:r>
    </w:p>
    <w:p>
      <w:pPr>
        <w:pStyle w:val="ListBullet"/>
        <w:spacing w:after="60"/>
      </w:pPr>
      <w:r>
        <w:rPr>
          <w:b/>
          <w:color w:val="4F46E5"/>
        </w:rPr>
        <w:t xml:space="preserve">Tool 2: check_drive_eligibility(student_id, job_id): </w:t>
      </w:r>
      <w:r>
        <w:t>Enforces academic cutoffs, active backlog restrictions, and integrity score thresholds.</w:t>
      </w:r>
    </w:p>
    <w:p>
      <w:pPr>
        <w:pStyle w:val="ListBullet"/>
        <w:spacing w:after="60"/>
      </w:pPr>
      <w:r>
        <w:rPr>
          <w:b/>
          <w:color w:val="4F46E5"/>
        </w:rPr>
        <w:t xml:space="preserve">Tool 3: audit_code_submission(code, language): </w:t>
      </w:r>
      <w:r>
        <w:t>Executes in-memory AST parser to evaluate cyclomatic complexity and code modularity.</w:t>
      </w:r>
    </w:p>
    <w:p>
      <w:pPr>
        <w:pStyle w:val="ListBullet"/>
        <w:spacing w:after="60"/>
      </w:pPr>
      <w:r>
        <w:rPr>
          <w:b/>
          <w:color w:val="4F46E5"/>
        </w:rPr>
        <w:t xml:space="preserve">Tool 4: match_jobs_for_candidate(student_id): </w:t>
      </w:r>
      <w:r>
        <w:t>Executes the composite vector overlap matcher against live verified campus drives.</w:t>
      </w:r>
    </w:p>
    <w:p>
      <w:pPr>
        <w:pStyle w:val="ListBullet"/>
        <w:spacing w:after="60"/>
      </w:pPr>
      <w:r>
        <w:rPr>
          <w:b/>
          <w:color w:val="4F46E5"/>
        </w:rPr>
        <w:t xml:space="preserve">Tool 5: recommend_curriculum_upgrades(college_id): </w:t>
      </w:r>
      <w:r>
        <w:t>Correlates polynomial industry demand curves with college syllabi to generate syllabus upgrade advice.</w:t>
      </w:r>
    </w:p>
    <w:p>
      <w:pPr>
        <w:pStyle w:val="ListBullet"/>
        <w:spacing w:after="60"/>
      </w:pPr>
      <w:r>
        <w:rPr>
          <w:b/>
          <w:color w:val="4F46E5"/>
        </w:rPr>
        <w:t xml:space="preserve">Tool 6: generate_action_plan(student_id, target_role): </w:t>
      </w:r>
      <w:r>
        <w:t>Computes exact competency deltas (Delta_S = S_JD - S_Verified) and produces counterfactual study milestones.</w:t>
      </w:r>
    </w:p>
    <w:p>
      <w:pPr>
        <w:spacing w:after="240"/>
      </w:pPr>
    </w:p>
    <w:p>
      <w:pPr>
        <w:pStyle w:val="Heading1"/>
      </w:pPr>
      <w:r>
        <w:rPr>
          <w:b/>
          <w:color w:val="1E1B4B"/>
          <w:sz w:val="28"/>
        </w:rPr>
        <w:t>7. Persistence Engine &amp; ACID Integrity</w:t>
      </w:r>
    </w:p>
    <w:p>
      <w:pPr>
        <w:spacing w:line="300" w:lineRule="auto"/>
      </w:pPr>
      <w:r>
        <w:t>To guarantee zero data loss during high-concurrency placement assessment sessions, HireX implements a Zero-Loss Canonical Store pattern. In-memory data structures are synchronized to disk via atomic temporary file writing and POSIX-level file swapping (os.replace), backed by threading.RLock() concurrency primitives. The repository pattern abstracts all store operations, allowing seamless migration to PostgreSQL or distributed document databases with zero changes to business logic.</w:t>
      </w:r>
    </w:p>
    <w:p>
      <w:pPr>
        <w:spacing w:after="240"/>
      </w:pPr>
    </w:p>
    <w:p>
      <w:pPr>
        <w:pStyle w:val="Heading1"/>
      </w:pPr>
      <w:r>
        <w:rPr>
          <w:b/>
          <w:color w:val="1E1B4B"/>
          <w:sz w:val="28"/>
        </w:rPr>
        <w:t>8. DevOps, Deployment &amp; Environmental Configuration</w:t>
      </w:r>
    </w:p>
    <w:tbl>
      <w:tblPr>
        <w:tblW w:type="auto" w:w="0"/>
        <w:jc w:val="center"/>
        <w:tblLook w:firstColumn="1" w:firstRow="1" w:lastColumn="0" w:lastRow="0" w:noHBand="0" w:noVBand="1" w:val="04A0"/>
      </w:tblPr>
      <w:tblGrid>
        <w:gridCol w:w="3312"/>
        <w:gridCol w:w="3312"/>
        <w:gridCol w:w="3312"/>
      </w:tblGrid>
      <w:tr>
        <w:tc>
          <w:tcPr>
            <w:tcW w:type="dxa" w:w="2880"/>
            <w:shd w:fill="1E1B4B"/>
            <w:tcMar>
              <w:top w:w="120" w:type="dxa"/>
              <w:bottom w:w="120" w:type="dxa"/>
              <w:left w:w="150" w:type="dxa"/>
              <w:right w:w="150" w:type="dxa"/>
            </w:tcMar>
          </w:tcPr>
          <w:p>
            <w:pPr>
              <w:jc w:val="left"/>
            </w:pPr>
            <w:r>
              <w:rPr>
                <w:rFonts w:ascii="Arial" w:hAnsi="Arial"/>
                <w:b/>
                <w:color w:val="FFFFFF"/>
                <w:sz w:val="17"/>
              </w:rPr>
              <w:t>Deployment Component</w:t>
            </w:r>
          </w:p>
        </w:tc>
        <w:tc>
          <w:tcPr>
            <w:tcW w:type="dxa" w:w="3600"/>
            <w:shd w:fill="1E1B4B"/>
            <w:tcMar>
              <w:top w:w="120" w:type="dxa"/>
              <w:bottom w:w="120" w:type="dxa"/>
              <w:left w:w="150" w:type="dxa"/>
              <w:right w:w="150" w:type="dxa"/>
            </w:tcMar>
          </w:tcPr>
          <w:p>
            <w:pPr>
              <w:jc w:val="left"/>
            </w:pPr>
            <w:r>
              <w:rPr>
                <w:rFonts w:ascii="Arial" w:hAnsi="Arial"/>
                <w:b/>
                <w:color w:val="FFFFFF"/>
                <w:sz w:val="17"/>
              </w:rPr>
              <w:t>Configuration &amp; Specification</w:t>
            </w:r>
          </w:p>
        </w:tc>
        <w:tc>
          <w:tcPr>
            <w:tcW w:type="dxa" w:w="3456"/>
            <w:shd w:fill="1E1B4B"/>
            <w:tcMar>
              <w:top w:w="120" w:type="dxa"/>
              <w:bottom w:w="120" w:type="dxa"/>
              <w:left w:w="150" w:type="dxa"/>
              <w:right w:w="150" w:type="dxa"/>
            </w:tcMar>
          </w:tcPr>
          <w:p>
            <w:pPr>
              <w:jc w:val="left"/>
            </w:pPr>
            <w:r>
              <w:rPr>
                <w:rFonts w:ascii="Arial" w:hAnsi="Arial"/>
                <w:b/>
                <w:color w:val="FFFFFF"/>
                <w:sz w:val="17"/>
              </w:rPr>
              <w:t>Security &amp; Hardening</w:t>
            </w:r>
          </w:p>
        </w:tc>
      </w:tr>
      <w:tr>
        <w:tc>
          <w:tcPr>
            <w:tcW w:type="dxa" w:w="2880"/>
            <w:shd w:fill="FFFFFF"/>
            <w:tcMar>
              <w:top w:w="90" w:type="dxa"/>
              <w:bottom w:w="90" w:type="dxa"/>
              <w:left w:w="150" w:type="dxa"/>
              <w:right w:w="150" w:type="dxa"/>
            </w:tcMar>
          </w:tcPr>
          <w:p>
            <w:pPr>
              <w:jc w:val="left"/>
            </w:pPr>
            <w:r>
              <w:rPr>
                <w:rFonts w:ascii="Arial" w:hAnsi="Arial"/>
                <w:color w:val="1E293B"/>
                <w:sz w:val="17"/>
              </w:rPr>
              <w:t>Docker Containerization</w:t>
            </w:r>
          </w:p>
        </w:tc>
        <w:tc>
          <w:tcPr>
            <w:tcW w:type="dxa" w:w="3600"/>
            <w:shd w:fill="FFFFFF"/>
            <w:tcMar>
              <w:top w:w="90" w:type="dxa"/>
              <w:bottom w:w="90" w:type="dxa"/>
              <w:left w:w="150" w:type="dxa"/>
              <w:right w:w="150" w:type="dxa"/>
            </w:tcMar>
          </w:tcPr>
          <w:p>
            <w:pPr>
              <w:jc w:val="left"/>
            </w:pPr>
            <w:r>
              <w:rPr>
                <w:rFonts w:ascii="Arial" w:hAnsi="Arial"/>
                <w:color w:val="1E293B"/>
                <w:sz w:val="17"/>
              </w:rPr>
              <w:t>Multi-stage build: Node 20 Alpine frontend compilation + Python 3.12 Slim runtime</w:t>
            </w:r>
          </w:p>
        </w:tc>
        <w:tc>
          <w:tcPr>
            <w:tcW w:type="dxa" w:w="3456"/>
            <w:shd w:fill="FFFFFF"/>
            <w:tcMar>
              <w:top w:w="90" w:type="dxa"/>
              <w:bottom w:w="90" w:type="dxa"/>
              <w:left w:w="150" w:type="dxa"/>
              <w:right w:w="150" w:type="dxa"/>
            </w:tcMar>
          </w:tcPr>
          <w:p>
            <w:pPr>
              <w:jc w:val="left"/>
            </w:pPr>
            <w:r>
              <w:rPr>
                <w:rFonts w:ascii="Arial" w:hAnsi="Arial"/>
                <w:color w:val="1E293B"/>
                <w:sz w:val="17"/>
              </w:rPr>
              <w:t>Runs as isolated non-root user (appuser:1001)</w:t>
            </w:r>
          </w:p>
        </w:tc>
      </w:tr>
      <w:tr>
        <w:tc>
          <w:tcPr>
            <w:tcW w:type="dxa" w:w="2880"/>
            <w:shd w:fill="F8FAFC"/>
            <w:tcMar>
              <w:top w:w="90" w:type="dxa"/>
              <w:bottom w:w="90" w:type="dxa"/>
              <w:left w:w="150" w:type="dxa"/>
              <w:right w:w="150" w:type="dxa"/>
            </w:tcMar>
          </w:tcPr>
          <w:p>
            <w:pPr>
              <w:jc w:val="left"/>
            </w:pPr>
            <w:r>
              <w:rPr>
                <w:rFonts w:ascii="Arial" w:hAnsi="Arial"/>
                <w:color w:val="1E293B"/>
                <w:sz w:val="17"/>
              </w:rPr>
              <w:t>Nginx Reverse Proxy</w:t>
            </w:r>
          </w:p>
        </w:tc>
        <w:tc>
          <w:tcPr>
            <w:tcW w:type="dxa" w:w="3600"/>
            <w:shd w:fill="F8FAFC"/>
            <w:tcMar>
              <w:top w:w="90" w:type="dxa"/>
              <w:bottom w:w="90" w:type="dxa"/>
              <w:left w:w="150" w:type="dxa"/>
              <w:right w:w="150" w:type="dxa"/>
            </w:tcMar>
          </w:tcPr>
          <w:p>
            <w:pPr>
              <w:jc w:val="left"/>
            </w:pPr>
            <w:r>
              <w:rPr>
                <w:rFonts w:ascii="Arial" w:hAnsi="Arial"/>
                <w:color w:val="1E293B"/>
                <w:sz w:val="17"/>
              </w:rPr>
              <w:t>SSL termination, gzip/brotli compression, rate limiting, and static SPA serving</w:t>
            </w:r>
          </w:p>
        </w:tc>
        <w:tc>
          <w:tcPr>
            <w:tcW w:type="dxa" w:w="3456"/>
            <w:shd w:fill="F8FAFC"/>
            <w:tcMar>
              <w:top w:w="90" w:type="dxa"/>
              <w:bottom w:w="90" w:type="dxa"/>
              <w:left w:w="150" w:type="dxa"/>
              <w:right w:w="150" w:type="dxa"/>
            </w:tcMar>
          </w:tcPr>
          <w:p>
            <w:pPr>
              <w:jc w:val="left"/>
            </w:pPr>
            <w:r>
              <w:rPr>
                <w:rFonts w:ascii="Arial" w:hAnsi="Arial"/>
                <w:color w:val="1E293B"/>
                <w:sz w:val="17"/>
              </w:rPr>
              <w:t>Hiding server tokens, HTTP security headers</w:t>
            </w:r>
          </w:p>
        </w:tc>
      </w:tr>
      <w:tr>
        <w:tc>
          <w:tcPr>
            <w:tcW w:type="dxa" w:w="2880"/>
            <w:shd w:fill="FFFFFF"/>
            <w:tcMar>
              <w:top w:w="90" w:type="dxa"/>
              <w:bottom w:w="90" w:type="dxa"/>
              <w:left w:w="150" w:type="dxa"/>
              <w:right w:w="150" w:type="dxa"/>
            </w:tcMar>
          </w:tcPr>
          <w:p>
            <w:pPr>
              <w:jc w:val="left"/>
            </w:pPr>
            <w:r>
              <w:rPr>
                <w:rFonts w:ascii="Arial" w:hAnsi="Arial"/>
                <w:color w:val="1E293B"/>
                <w:sz w:val="17"/>
              </w:rPr>
              <w:t>Environment Security</w:t>
            </w:r>
          </w:p>
        </w:tc>
        <w:tc>
          <w:tcPr>
            <w:tcW w:type="dxa" w:w="3600"/>
            <w:shd w:fill="FFFFFF"/>
            <w:tcMar>
              <w:top w:w="90" w:type="dxa"/>
              <w:bottom w:w="90" w:type="dxa"/>
              <w:left w:w="150" w:type="dxa"/>
              <w:right w:w="150" w:type="dxa"/>
            </w:tcMar>
          </w:tcPr>
          <w:p>
            <w:pPr>
              <w:jc w:val="left"/>
            </w:pPr>
            <w:r>
              <w:rPr>
                <w:rFonts w:ascii="Arial" w:hAnsi="Arial"/>
                <w:color w:val="1E293B"/>
                <w:sz w:val="17"/>
              </w:rPr>
              <w:t>Injected via .env / environment variables (Zero plaintext keys)</w:t>
            </w:r>
          </w:p>
        </w:tc>
        <w:tc>
          <w:tcPr>
            <w:tcW w:type="dxa" w:w="3456"/>
            <w:shd w:fill="FFFFFF"/>
            <w:tcMar>
              <w:top w:w="90" w:type="dxa"/>
              <w:bottom w:w="90" w:type="dxa"/>
              <w:left w:w="150" w:type="dxa"/>
              <w:right w:w="150" w:type="dxa"/>
            </w:tcMar>
          </w:tcPr>
          <w:p>
            <w:pPr>
              <w:jc w:val="left"/>
            </w:pPr>
            <w:r>
              <w:rPr>
                <w:rFonts w:ascii="Arial" w:hAnsi="Arial"/>
                <w:color w:val="1E293B"/>
                <w:sz w:val="17"/>
              </w:rPr>
              <w:t>All API keys &amp; secrets validated by Pydantic Settings</w:t>
            </w:r>
          </w:p>
        </w:tc>
      </w:tr>
      <w:tr>
        <w:tc>
          <w:tcPr>
            <w:tcW w:type="dxa" w:w="2880"/>
            <w:shd w:fill="F8FAFC"/>
            <w:tcMar>
              <w:top w:w="90" w:type="dxa"/>
              <w:bottom w:w="90" w:type="dxa"/>
              <w:left w:w="150" w:type="dxa"/>
              <w:right w:w="150" w:type="dxa"/>
            </w:tcMar>
          </w:tcPr>
          <w:p>
            <w:pPr>
              <w:jc w:val="left"/>
            </w:pPr>
            <w:r>
              <w:rPr>
                <w:rFonts w:ascii="Arial" w:hAnsi="Arial"/>
                <w:color w:val="1E293B"/>
                <w:sz w:val="17"/>
              </w:rPr>
              <w:t>One-Click Local Launchers</w:t>
            </w:r>
          </w:p>
        </w:tc>
        <w:tc>
          <w:tcPr>
            <w:tcW w:type="dxa" w:w="3600"/>
            <w:shd w:fill="F8FAFC"/>
            <w:tcMar>
              <w:top w:w="90" w:type="dxa"/>
              <w:bottom w:w="90" w:type="dxa"/>
              <w:left w:w="150" w:type="dxa"/>
              <w:right w:w="150" w:type="dxa"/>
            </w:tcMar>
          </w:tcPr>
          <w:p>
            <w:pPr>
              <w:jc w:val="left"/>
            </w:pPr>
            <w:r>
              <w:rPr>
                <w:rFonts w:ascii="Arial" w:hAnsi="Arial"/>
                <w:color w:val="1E293B"/>
                <w:sz w:val="17"/>
              </w:rPr>
              <w:t>start_hirex.bat and start_hirex.ps1 automated bootstrapping</w:t>
            </w:r>
          </w:p>
        </w:tc>
        <w:tc>
          <w:tcPr>
            <w:tcW w:type="dxa" w:w="3456"/>
            <w:shd w:fill="F8FAFC"/>
            <w:tcMar>
              <w:top w:w="90" w:type="dxa"/>
              <w:bottom w:w="90" w:type="dxa"/>
              <w:left w:w="150" w:type="dxa"/>
              <w:right w:w="150" w:type="dxa"/>
            </w:tcMar>
          </w:tcPr>
          <w:p>
            <w:pPr>
              <w:jc w:val="left"/>
            </w:pPr>
            <w:r>
              <w:rPr>
                <w:rFonts w:ascii="Arial" w:hAnsi="Arial"/>
                <w:color w:val="1E293B"/>
                <w:sz w:val="17"/>
              </w:rPr>
              <w:t>Verifies port availability &amp; installs dependencies cleanly</w:t>
            </w:r>
          </w:p>
        </w:tc>
      </w:tr>
    </w:tbl>
    <w:p>
      <w:pPr>
        <w:spacing w:after="320"/>
      </w:pPr>
    </w:p>
    <w:tbl>
      <w:tblPr>
        <w:tblW w:type="auto" w:w="0"/>
        <w:jc w:val="center"/>
        <w:tblLook w:firstColumn="1" w:firstRow="1" w:lastColumn="0" w:lastRow="0" w:noHBand="0" w:noVBand="1" w:val="04A0"/>
      </w:tblPr>
      <w:tblGrid>
        <w:gridCol w:w="3312"/>
        <w:gridCol w:w="3312"/>
        <w:gridCol w:w="3312"/>
      </w:tblGrid>
      <w:tr>
        <w:tc>
          <w:tcPr>
            <w:tcW w:type="dxa" w:w="3312"/>
            <w:shd w:fill="312E81"/>
            <w:tcMar>
              <w:top w:w="120" w:type="dxa"/>
              <w:bottom w:w="120" w:type="dxa"/>
              <w:left w:w="150" w:type="dxa"/>
              <w:right w:w="150" w:type="dxa"/>
            </w:tcMar>
          </w:tcPr>
          <w:p>
            <w:pPr>
              <w:jc w:val="left"/>
            </w:pPr>
            <w:r>
              <w:rPr>
                <w:rFonts w:ascii="Arial" w:hAnsi="Arial"/>
                <w:b/>
                <w:color w:val="FFFFFF"/>
                <w:sz w:val="17"/>
              </w:rPr>
              <w:t>Engineering Role</w:t>
            </w:r>
          </w:p>
        </w:tc>
        <w:tc>
          <w:tcPr>
            <w:tcW w:type="dxa" w:w="3312"/>
            <w:shd w:fill="312E81"/>
            <w:tcMar>
              <w:top w:w="120" w:type="dxa"/>
              <w:bottom w:w="120" w:type="dxa"/>
              <w:left w:w="150" w:type="dxa"/>
              <w:right w:w="150" w:type="dxa"/>
            </w:tcMar>
          </w:tcPr>
          <w:p>
            <w:pPr>
              <w:jc w:val="left"/>
            </w:pPr>
            <w:r>
              <w:rPr>
                <w:rFonts w:ascii="Arial" w:hAnsi="Arial"/>
                <w:b/>
                <w:color w:val="FFFFFF"/>
                <w:sz w:val="17"/>
              </w:rPr>
              <w:t>Verification Authority</w:t>
            </w:r>
          </w:p>
        </w:tc>
        <w:tc>
          <w:tcPr>
            <w:tcW w:type="dxa" w:w="3312"/>
            <w:shd w:fill="312E81"/>
            <w:tcMar>
              <w:top w:w="120" w:type="dxa"/>
              <w:bottom w:w="120" w:type="dxa"/>
              <w:left w:w="150" w:type="dxa"/>
              <w:right w:w="150" w:type="dxa"/>
            </w:tcMar>
          </w:tcPr>
          <w:p>
            <w:pPr>
              <w:jc w:val="left"/>
            </w:pPr>
            <w:r>
              <w:rPr>
                <w:rFonts w:ascii="Arial" w:hAnsi="Arial"/>
                <w:b/>
                <w:color w:val="FFFFFF"/>
                <w:sz w:val="17"/>
              </w:rPr>
              <w:t>Status &amp; Timestamp</w:t>
            </w:r>
          </w:p>
        </w:tc>
      </w:tr>
      <w:tr>
        <w:tc>
          <w:tcPr>
            <w:tcW w:type="dxa" w:w="3312"/>
            <w:shd w:fill="FFFFFF"/>
            <w:tcMar>
              <w:top w:w="90" w:type="dxa"/>
              <w:bottom w:w="90" w:type="dxa"/>
              <w:left w:w="150" w:type="dxa"/>
              <w:right w:w="150" w:type="dxa"/>
            </w:tcMar>
          </w:tcPr>
          <w:p>
            <w:pPr>
              <w:jc w:val="left"/>
            </w:pPr>
            <w:r>
              <w:rPr>
                <w:rFonts w:ascii="Arial" w:hAnsi="Arial"/>
                <w:color w:val="1E293B"/>
                <w:sz w:val="17"/>
              </w:rPr>
              <w:t>Chief Systems Architect</w:t>
            </w:r>
          </w:p>
        </w:tc>
        <w:tc>
          <w:tcPr>
            <w:tcW w:type="dxa" w:w="3312"/>
            <w:shd w:fill="FFFFFF"/>
            <w:tcMar>
              <w:top w:w="90" w:type="dxa"/>
              <w:bottom w:w="90" w:type="dxa"/>
              <w:left w:w="150" w:type="dxa"/>
              <w:right w:w="150" w:type="dxa"/>
            </w:tcMar>
          </w:tcPr>
          <w:p>
            <w:pPr>
              <w:jc w:val="left"/>
            </w:pPr>
            <w:r>
              <w:rPr>
                <w:rFonts w:ascii="Arial" w:hAnsi="Arial"/>
                <w:color w:val="1E293B"/>
                <w:sz w:val="17"/>
              </w:rPr>
              <w:t>Team Dominator Platform Core</w:t>
            </w:r>
          </w:p>
        </w:tc>
        <w:tc>
          <w:tcPr>
            <w:tcW w:type="dxa" w:w="3312"/>
            <w:shd w:fill="FFFFFF"/>
            <w:tcMar>
              <w:top w:w="90" w:type="dxa"/>
              <w:bottom w:w="90" w:type="dxa"/>
              <w:left w:w="150" w:type="dxa"/>
              <w:right w:w="150" w:type="dxa"/>
            </w:tcMar>
          </w:tcPr>
          <w:p>
            <w:pPr>
              <w:jc w:val="left"/>
            </w:pPr>
            <w:r>
              <w:rPr>
                <w:rFonts w:ascii="Arial" w:hAnsi="Arial"/>
                <w:color w:val="1E293B"/>
                <w:sz w:val="17"/>
              </w:rPr>
              <w:t>APPROVED • October 2026</w:t>
            </w:r>
          </w:p>
        </w:tc>
      </w:tr>
      <w:tr>
        <w:tc>
          <w:tcPr>
            <w:tcW w:type="dxa" w:w="3312"/>
            <w:shd w:fill="F8FAFC"/>
            <w:tcMar>
              <w:top w:w="90" w:type="dxa"/>
              <w:bottom w:w="90" w:type="dxa"/>
              <w:left w:w="150" w:type="dxa"/>
              <w:right w:w="150" w:type="dxa"/>
            </w:tcMar>
          </w:tcPr>
          <w:p>
            <w:pPr>
              <w:jc w:val="left"/>
            </w:pPr>
            <w:r>
              <w:rPr>
                <w:rFonts w:ascii="Arial" w:hAnsi="Arial"/>
                <w:color w:val="1E293B"/>
                <w:sz w:val="17"/>
              </w:rPr>
              <w:t>AI &amp; Mathematical Director</w:t>
            </w:r>
          </w:p>
        </w:tc>
        <w:tc>
          <w:tcPr>
            <w:tcW w:type="dxa" w:w="3312"/>
            <w:shd w:fill="F8FAFC"/>
            <w:tcMar>
              <w:top w:w="90" w:type="dxa"/>
              <w:bottom w:w="90" w:type="dxa"/>
              <w:left w:w="150" w:type="dxa"/>
              <w:right w:w="150" w:type="dxa"/>
            </w:tcMar>
          </w:tcPr>
          <w:p>
            <w:pPr>
              <w:jc w:val="left"/>
            </w:pPr>
            <w:r>
              <w:rPr>
                <w:rFonts w:ascii="Arial" w:hAnsi="Arial"/>
                <w:color w:val="1E293B"/>
                <w:sz w:val="17"/>
              </w:rPr>
              <w:t>Algorithmic Integrity Board</w:t>
            </w:r>
          </w:p>
        </w:tc>
        <w:tc>
          <w:tcPr>
            <w:tcW w:type="dxa" w:w="3312"/>
            <w:shd w:fill="F8FAFC"/>
            <w:tcMar>
              <w:top w:w="90" w:type="dxa"/>
              <w:bottom w:w="90" w:type="dxa"/>
              <w:left w:w="150" w:type="dxa"/>
              <w:right w:w="150" w:type="dxa"/>
            </w:tcMar>
          </w:tcPr>
          <w:p>
            <w:pPr>
              <w:jc w:val="left"/>
            </w:pPr>
            <w:r>
              <w:rPr>
                <w:rFonts w:ascii="Arial" w:hAnsi="Arial"/>
                <w:color w:val="1E293B"/>
                <w:sz w:val="17"/>
              </w:rPr>
              <w:t>CERTIFIED • October 2026</w:t>
            </w:r>
          </w:p>
        </w:tc>
      </w:tr>
      <w:tr>
        <w:tc>
          <w:tcPr>
            <w:tcW w:type="dxa" w:w="3312"/>
            <w:shd w:fill="FFFFFF"/>
            <w:tcMar>
              <w:top w:w="90" w:type="dxa"/>
              <w:bottom w:w="90" w:type="dxa"/>
              <w:left w:w="150" w:type="dxa"/>
              <w:right w:w="150" w:type="dxa"/>
            </w:tcMar>
          </w:tcPr>
          <w:p>
            <w:pPr>
              <w:jc w:val="left"/>
            </w:pPr>
            <w:r>
              <w:rPr>
                <w:rFonts w:ascii="Arial" w:hAnsi="Arial"/>
                <w:color w:val="1E293B"/>
                <w:sz w:val="17"/>
              </w:rPr>
              <w:t>Data Protection Officer</w:t>
            </w:r>
          </w:p>
        </w:tc>
        <w:tc>
          <w:tcPr>
            <w:tcW w:type="dxa" w:w="3312"/>
            <w:shd w:fill="FFFFFF"/>
            <w:tcMar>
              <w:top w:w="90" w:type="dxa"/>
              <w:bottom w:w="90" w:type="dxa"/>
              <w:left w:w="150" w:type="dxa"/>
              <w:right w:w="150" w:type="dxa"/>
            </w:tcMar>
          </w:tcPr>
          <w:p>
            <w:pPr>
              <w:jc w:val="left"/>
            </w:pPr>
            <w:r>
              <w:rPr>
                <w:rFonts w:ascii="Arial" w:hAnsi="Arial"/>
                <w:color w:val="1E293B"/>
                <w:sz w:val="17"/>
              </w:rPr>
              <w:t>DPDP Act 2023 Conformance</w:t>
            </w:r>
          </w:p>
        </w:tc>
        <w:tc>
          <w:tcPr>
            <w:tcW w:type="dxa" w:w="3312"/>
            <w:shd w:fill="FFFFFF"/>
            <w:tcMar>
              <w:top w:w="90" w:type="dxa"/>
              <w:bottom w:w="90" w:type="dxa"/>
              <w:left w:w="150" w:type="dxa"/>
              <w:right w:w="150" w:type="dxa"/>
            </w:tcMar>
          </w:tcPr>
          <w:p>
            <w:pPr>
              <w:jc w:val="left"/>
            </w:pPr>
            <w:r>
              <w:rPr>
                <w:rFonts w:ascii="Arial" w:hAnsi="Arial"/>
                <w:color w:val="1E293B"/>
                <w:sz w:val="17"/>
              </w:rPr>
              <w:t>COMPLIANT • October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