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35.png" ContentType="image/png"/>
  <Override PartName="/word/media/rId146.png" ContentType="image/png"/>
  <Override PartName="/word/media/rId153.png" ContentType="image/png"/>
  <Override PartName="/word/media/rId161.png" ContentType="image/png"/>
  <Override PartName="/word/media/rId171.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67.png" ContentType="image/png"/>
  <Override PartName="/word/media/rId1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Sur mobile ou petit écran, elle se replie avec le bouton</w:t>
      </w:r>
      <w:r>
        <w:t xml:space="preserve"> </w:t>
      </w:r>
      <w:r>
        <w:rPr>
          <w:b/>
          <w:bCs/>
        </w:rPr>
        <w:t xml:space="preserve">☰</w:t>
      </w:r>
      <w:r>
        <w:t xml:space="preserve"> </w:t>
      </w:r>
      <w:r>
        <w:t xml:space="preserve">et peut être rouverte avec le même bouton.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r>
        <w:tc>
          <w:tcPr/>
          <w:p>
            <w:pPr>
              <w:pStyle w:val="Compact"/>
            </w:pPr>
            <w:r>
              <w:t xml:space="preserve">🔍</w:t>
            </w:r>
          </w:p>
        </w:tc>
        <w:tc>
          <w:tcPr/>
          <w:p>
            <w:pPr>
              <w:pStyle w:val="Compact"/>
            </w:pPr>
            <w:r>
              <w:t xml:space="preserve">Journal d’audit</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Paramètres</w:t>
            </w:r>
          </w:p>
        </w:tc>
      </w:tr>
    </w:tbl>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7"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46"/>
    <w:bookmarkEnd w:id="47"/>
    <w:bookmarkStart w:id="64" w:name="gestion-des-clients"/>
    <w:p>
      <w:pPr>
        <w:pStyle w:val="Heading1"/>
      </w:pPr>
      <w:r>
        <w:t xml:space="preserve">Gestion des clients</w:t>
      </w:r>
    </w:p>
    <w:bookmarkStart w:id="51" w:name="liste-des-clients"/>
    <w:p>
      <w:pPr>
        <w:pStyle w:val="Heading2"/>
      </w:pPr>
      <w:r>
        <w:t xml:space="preserve">Liste des clients</w:t>
      </w:r>
    </w:p>
    <w:p>
      <w:pPr>
        <w:pStyle w:val="CaptionedFigure"/>
      </w:pPr>
      <w:r>
        <w:drawing>
          <wp:inline>
            <wp:extent cx="5334000" cy="2637413"/>
            <wp:effectExtent b="0" l="0" r="0" t="0"/>
            <wp:docPr descr="Liste des clients" title="" id="49" name="Picture"/>
            <a:graphic>
              <a:graphicData uri="http://schemas.openxmlformats.org/drawingml/2006/picture">
                <pic:pic>
                  <pic:nvPicPr>
                    <pic:cNvPr descr="screenshots/04-clients-liste.png" id="50" name="Picture"/>
                    <pic:cNvPicPr>
                      <a:picLocks noChangeArrowheads="1" noChangeAspect="1"/>
                    </pic:cNvPicPr>
                  </pic:nvPicPr>
                  <pic:blipFill>
                    <a:blip r:embed="rId4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bookmarkEnd w:id="51"/>
    <w:bookmarkStart w:id="56"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4"/>
        </w:numPr>
      </w:pPr>
      <w:r>
        <w:rPr>
          <w:b/>
          <w:bCs/>
        </w:rPr>
        <w:t xml:space="preserve">Professionnel</w:t>
      </w:r>
      <w:r>
        <w:t xml:space="preserve"> </w:t>
      </w:r>
      <w:r>
        <w:t xml:space="preserve">— raison sociale, SIRET, TVA intracom.</w:t>
      </w:r>
    </w:p>
    <w:p>
      <w:pPr>
        <w:pStyle w:val="Compact"/>
        <w:numPr>
          <w:ilvl w:val="0"/>
          <w:numId w:val="1004"/>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2"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2"/>
    <w:bookmarkStart w:id="53"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3"/>
    <w:bookmarkStart w:id="54"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4"/>
    <w:bookmarkStart w:id="55"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55"/>
    <w:bookmarkEnd w:id="56"/>
    <w:bookmarkStart w:id="62"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57"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57"/>
    <w:bookmarkStart w:id="58"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58"/>
    <w:bookmarkStart w:id="59"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59"/>
    <w:bookmarkStart w:id="60" w:name="déroulement-de-limport"/>
    <w:p>
      <w:pPr>
        <w:pStyle w:val="Heading3"/>
      </w:pPr>
      <w:r>
        <w:t xml:space="preserve">Déroulement de l’import</w:t>
      </w:r>
    </w:p>
    <w:p>
      <w:pPr>
        <w:pStyle w:val="Compact"/>
        <w:numPr>
          <w:ilvl w:val="0"/>
          <w:numId w:val="1005"/>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5"/>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5"/>
        </w:numPr>
      </w:pPr>
      <w:r>
        <w:t xml:space="preserve">Sélectionnez votre fichier.</w:t>
      </w:r>
    </w:p>
    <w:p>
      <w:pPr>
        <w:pStyle w:val="Compact"/>
        <w:numPr>
          <w:ilvl w:val="0"/>
          <w:numId w:val="1005"/>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0"/>
    <w:bookmarkStart w:id="61"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1"/>
    <w:bookmarkEnd w:id="62"/>
    <w:bookmarkStart w:id="63"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3"/>
    <w:bookmarkEnd w:id="64"/>
    <w:bookmarkStart w:id="77" w:name="catalogue-darticles"/>
    <w:p>
      <w:pPr>
        <w:pStyle w:val="Heading1"/>
      </w:pPr>
      <w:r>
        <w:t xml:space="preserve">Catalogue d’articles</w:t>
      </w:r>
    </w:p>
    <w:p>
      <w:pPr>
        <w:pStyle w:val="CaptionedFigure"/>
      </w:pPr>
      <w:r>
        <w:drawing>
          <wp:inline>
            <wp:extent cx="5334000" cy="2637413"/>
            <wp:effectExtent b="0" l="0" r="0" t="0"/>
            <wp:docPr descr="Liste des articles" title="" id="66" name="Picture"/>
            <a:graphic>
              <a:graphicData uri="http://schemas.openxmlformats.org/drawingml/2006/picture">
                <pic:pic>
                  <pic:nvPicPr>
                    <pic:cNvPr descr="screenshots/05-articles-liste.png" id="67" name="Picture"/>
                    <pic:cNvPicPr>
                      <a:picLocks noChangeArrowheads="1" noChangeAspect="1"/>
                    </pic:cNvPicPr>
                  </pic:nvPicPr>
                  <pic:blipFill>
                    <a:blip r:embed="rId6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6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6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68"/>
    <w:bookmarkEnd w:id="69"/>
    <w:bookmarkStart w:id="75" w:name="import-csv-articles"/>
    <w:p>
      <w:pPr>
        <w:pStyle w:val="Heading2"/>
      </w:pPr>
      <w:r>
        <w:t xml:space="preserve">Import CSV articles</w:t>
      </w:r>
    </w:p>
    <w:p>
      <w:pPr>
        <w:pStyle w:val="FirstParagraph"/>
      </w:pPr>
      <w:r>
        <w:t xml:space="preserve">Importez votre catalogue en une seule opération depuis un fichier CSV.</w:t>
      </w:r>
    </w:p>
    <w:bookmarkStart w:id="70" w:name="accès-1"/>
    <w:p>
      <w:pPr>
        <w:pStyle w:val="Heading3"/>
      </w:pPr>
      <w:r>
        <w:t xml:space="preserve">Accès</w:t>
      </w:r>
    </w:p>
    <w:p>
      <w:pPr>
        <w:pStyle w:val="FirstParagraph"/>
      </w:pPr>
      <w:r>
        <w:rPr>
          <w:b/>
          <w:bCs/>
        </w:rPr>
        <w:t xml:space="preserve">Articles &gt; Importer CSV</w:t>
      </w:r>
      <w:r>
        <w:t xml:space="preserve">.</w:t>
      </w:r>
    </w:p>
    <w:bookmarkEnd w:id="70"/>
    <w:bookmarkStart w:id="7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71"/>
    <w:bookmarkStart w:id="7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72"/>
    <w:bookmarkStart w:id="73" w:name="comportement"/>
    <w:p>
      <w:pPr>
        <w:pStyle w:val="Heading3"/>
      </w:pPr>
      <w:r>
        <w:t xml:space="preserve">Comportement</w:t>
      </w:r>
    </w:p>
    <w:p>
      <w:pPr>
        <w:pStyle w:val="Compact"/>
        <w:numPr>
          <w:ilvl w:val="0"/>
          <w:numId w:val="1006"/>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6"/>
        </w:numPr>
      </w:pPr>
      <w:r>
        <w:t xml:space="preserve">Le rapport d’import indique le nombre d’articles créés et les lignes ignorées.</w:t>
      </w:r>
    </w:p>
    <w:p>
      <w:pPr>
        <w:pStyle w:val="Compact"/>
        <w:numPr>
          <w:ilvl w:val="0"/>
          <w:numId w:val="1006"/>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73"/>
    <w:bookmarkStart w:id="7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74"/>
    <w:bookmarkEnd w:id="75"/>
    <w:bookmarkStart w:id="7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76"/>
    <w:bookmarkEnd w:id="77"/>
    <w:bookmarkStart w:id="9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81" w:name="devis"/>
    <w:p>
      <w:pPr>
        <w:pStyle w:val="Heading2"/>
      </w:pPr>
      <w:r>
        <w:t xml:space="preserve">Devis</w:t>
      </w:r>
    </w:p>
    <w:p>
      <w:pPr>
        <w:pStyle w:val="CaptionedFigure"/>
      </w:pPr>
      <w:r>
        <w:drawing>
          <wp:inline>
            <wp:extent cx="5334000" cy="2637413"/>
            <wp:effectExtent b="0" l="0" r="0" t="0"/>
            <wp:docPr descr="Éditeur de devis" title="" id="79" name="Picture"/>
            <a:graphic>
              <a:graphicData uri="http://schemas.openxmlformats.org/drawingml/2006/picture">
                <pic:pic>
                  <pic:nvPicPr>
                    <pic:cNvPr descr="screenshots/15-editeur-devis.png" id="80" name="Picture"/>
                    <pic:cNvPicPr>
                      <a:picLocks noChangeArrowheads="1" noChangeAspect="1"/>
                    </pic:cNvPicPr>
                  </pic:nvPicPr>
                  <pic:blipFill>
                    <a:blip r:embed="rId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81"/>
    <w:bookmarkStart w:id="85" w:name="factures"/>
    <w:p>
      <w:pPr>
        <w:pStyle w:val="Heading2"/>
      </w:pPr>
      <w:r>
        <w:t xml:space="preserve">Factures</w:t>
      </w:r>
    </w:p>
    <w:p>
      <w:pPr>
        <w:pStyle w:val="CaptionedFigure"/>
      </w:pPr>
      <w:r>
        <w:drawing>
          <wp:inline>
            <wp:extent cx="5334000" cy="2637413"/>
            <wp:effectExtent b="0" l="0" r="0" t="0"/>
            <wp:docPr descr="Éditeur de facture" title="" id="83" name="Picture"/>
            <a:graphic>
              <a:graphicData uri="http://schemas.openxmlformats.org/drawingml/2006/picture">
                <pic:pic>
                  <pic:nvPicPr>
                    <pic:cNvPr descr="screenshots/16-editeur-facture.png" id="84" name="Picture"/>
                    <pic:cNvPicPr>
                      <a:picLocks noChangeArrowheads="1" noChangeAspect="1"/>
                    </pic:cNvPicPr>
                  </pic:nvPicPr>
                  <pic:blipFill>
                    <a:blip r:embed="rId8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85"/>
    <w:bookmarkStart w:id="8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8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86"/>
    <w:bookmarkStart w:id="8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87"/>
    <w:bookmarkEnd w:id="88"/>
    <w:bookmarkStart w:id="8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89"/>
    <w:bookmarkStart w:id="9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90"/>
    <w:bookmarkStart w:id="94"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92" name="Picture"/>
            <a:graphic>
              <a:graphicData uri="http://schemas.openxmlformats.org/drawingml/2006/picture">
                <pic:pic>
                  <pic:nvPicPr>
                    <pic:cNvPr descr="screenshots/17-facture-mentions-legales.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94"/>
    <w:bookmarkEnd w:id="95"/>
    <w:bookmarkStart w:id="108" w:name="devis-1"/>
    <w:p>
      <w:pPr>
        <w:pStyle w:val="Heading1"/>
      </w:pPr>
      <w:r>
        <w:t xml:space="preserve">Devis</w:t>
      </w:r>
    </w:p>
    <w:p>
      <w:pPr>
        <w:pStyle w:val="CaptionedFigure"/>
      </w:pPr>
      <w:r>
        <w:drawing>
          <wp:inline>
            <wp:extent cx="5334000" cy="2637413"/>
            <wp:effectExtent b="0" l="0" r="0" t="0"/>
            <wp:docPr descr="Liste des devis" title="" id="97" name="Picture"/>
            <a:graphic>
              <a:graphicData uri="http://schemas.openxmlformats.org/drawingml/2006/picture">
                <pic:pic>
                  <pic:nvPicPr>
                    <pic:cNvPr descr="screenshots/07-devis-liste.png" id="98" name="Picture"/>
                    <pic:cNvPicPr>
                      <a:picLocks noChangeArrowheads="1" noChangeAspect="1"/>
                    </pic:cNvPicPr>
                  </pic:nvPicPr>
                  <pic:blipFill>
                    <a:blip r:embed="rId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9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99"/>
    <w:bookmarkStart w:id="100" w:name="créer-un-devis"/>
    <w:p>
      <w:pPr>
        <w:pStyle w:val="Heading2"/>
      </w:pPr>
      <w:r>
        <w:t xml:space="preserve">Créer un devis</w:t>
      </w:r>
    </w:p>
    <w:p>
      <w:pPr>
        <w:pStyle w:val="Compact"/>
        <w:numPr>
          <w:ilvl w:val="0"/>
          <w:numId w:val="1007"/>
        </w:numPr>
      </w:pPr>
      <w:r>
        <w:rPr>
          <w:b/>
          <w:bCs/>
        </w:rPr>
        <w:t xml:space="preserve">Devis &gt; + Nouveau devis</w:t>
      </w:r>
    </w:p>
    <w:p>
      <w:pPr>
        <w:pStyle w:val="Compact"/>
        <w:numPr>
          <w:ilvl w:val="0"/>
          <w:numId w:val="1007"/>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7"/>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7"/>
        </w:numPr>
      </w:pPr>
      <w:r>
        <w:t xml:space="preserve">Ajoutez les lignes (désignation, quantité, prix HT, TVA, remise).</w:t>
      </w:r>
    </w:p>
    <w:p>
      <w:pPr>
        <w:pStyle w:val="Compact"/>
        <w:numPr>
          <w:ilvl w:val="0"/>
          <w:numId w:val="1007"/>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00"/>
    <w:bookmarkStart w:id="10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8"/>
        </w:numPr>
      </w:pPr>
      <w:r>
        <w:t xml:space="preserve">Passe le statut à</w:t>
      </w:r>
      <w:r>
        <w:t xml:space="preserve"> </w:t>
      </w:r>
      <w:r>
        <w:rPr>
          <w:rStyle w:val="VerbatimChar"/>
        </w:rPr>
        <w:t xml:space="preserve">envoyé</w:t>
      </w:r>
      <w:r>
        <w:t xml:space="preserve">.</w:t>
      </w:r>
    </w:p>
    <w:p>
      <w:pPr>
        <w:pStyle w:val="Compact"/>
        <w:numPr>
          <w:ilvl w:val="0"/>
          <w:numId w:val="1008"/>
        </w:numPr>
      </w:pPr>
      <w:r>
        <w:t xml:space="preserve">Si un email client est renseigné, propose l’envoi par email avec le PDF joint.</w:t>
      </w:r>
    </w:p>
    <w:bookmarkEnd w:id="101"/>
    <w:bookmarkStart w:id="10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09"/>
        </w:numPr>
      </w:pPr>
      <w:r>
        <w:t xml:space="preserve">Verrouille le devis (statut</w:t>
      </w:r>
      <w:r>
        <w:t xml:space="preserve"> </w:t>
      </w:r>
      <w:r>
        <w:rPr>
          <w:rStyle w:val="VerbatimChar"/>
        </w:rPr>
        <w:t xml:space="preserve">signé</w:t>
      </w:r>
      <w:r>
        <w:t xml:space="preserve">).</w:t>
      </w:r>
    </w:p>
    <w:p>
      <w:pPr>
        <w:pStyle w:val="Compact"/>
        <w:numPr>
          <w:ilvl w:val="0"/>
          <w:numId w:val="1009"/>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09"/>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02"/>
    <w:bookmarkStart w:id="103"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0"/>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0"/>
        </w:numPr>
      </w:pPr>
      <w:r>
        <w:t xml:space="preserve">Le client clique le lien → une page de signature s’ouvre dans son navigateur.</w:t>
      </w:r>
    </w:p>
    <w:p>
      <w:pPr>
        <w:pStyle w:val="Compact"/>
        <w:numPr>
          <w:ilvl w:val="0"/>
          <w:numId w:val="1010"/>
        </w:numPr>
      </w:pPr>
      <w:r>
        <w:t xml:space="preserve">Il confirme → le devis passe automatiquement au statut</w:t>
      </w:r>
      <w:r>
        <w:t xml:space="preserve"> </w:t>
      </w:r>
      <w:r>
        <w:rPr>
          <w:b/>
          <w:bCs/>
        </w:rPr>
        <w:t xml:space="preserve">Accepté</w:t>
      </w:r>
      <w:r>
        <w:t xml:space="preserve">.</w:t>
      </w:r>
    </w:p>
    <w:p>
      <w:pPr>
        <w:pStyle w:val="Compact"/>
        <w:numPr>
          <w:ilvl w:val="0"/>
          <w:numId w:val="1010"/>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03"/>
    <w:bookmarkStart w:id="10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04"/>
    <w:bookmarkStart w:id="10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05"/>
    <w:bookmarkStart w:id="10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06"/>
    <w:bookmarkStart w:id="10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07"/>
    <w:bookmarkEnd w:id="108"/>
    <w:bookmarkStart w:id="110" w:name="avenants"/>
    <w:p>
      <w:pPr>
        <w:pStyle w:val="Heading1"/>
      </w:pPr>
      <w:r>
        <w:t xml:space="preserve">Avenants</w:t>
      </w:r>
    </w:p>
    <w:p>
      <w:pPr>
        <w:pStyle w:val="FirstParagraph"/>
      </w:pPr>
      <w:r>
        <w:t xml:space="preserve">Un avenant modifie un devis accepté sans altérer l’original.</w:t>
      </w:r>
    </w:p>
    <w:bookmarkStart w:id="10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09"/>
    <w:bookmarkEnd w:id="110"/>
    <w:bookmarkStart w:id="122" w:name="factures-1"/>
    <w:p>
      <w:pPr>
        <w:pStyle w:val="Heading1"/>
      </w:pPr>
      <w:r>
        <w:t xml:space="preserve">Factures</w:t>
      </w:r>
    </w:p>
    <w:p>
      <w:pPr>
        <w:pStyle w:val="CaptionedFigure"/>
      </w:pPr>
      <w:r>
        <w:drawing>
          <wp:inline>
            <wp:extent cx="5334000" cy="2637413"/>
            <wp:effectExtent b="0" l="0" r="0" t="0"/>
            <wp:docPr descr="Liste des factures" title="" id="112" name="Picture"/>
            <a:graphic>
              <a:graphicData uri="http://schemas.openxmlformats.org/drawingml/2006/picture">
                <pic:pic>
                  <pic:nvPicPr>
                    <pic:cNvPr descr="screenshots/06-factures-liste.png" id="113" name="Picture"/>
                    <pic:cNvPicPr>
                      <a:picLocks noChangeArrowheads="1" noChangeAspect="1"/>
                    </pic:cNvPicPr>
                  </pic:nvPicPr>
                  <pic:blipFill>
                    <a:blip r:embed="rId1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1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14"/>
    <w:bookmarkStart w:id="11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15"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15"/>
    <w:bookmarkEnd w:id="116"/>
    <w:bookmarkStart w:id="11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1"/>
        </w:numPr>
      </w:pPr>
      <w:r>
        <w:t xml:space="preserve">Verrouille la facture (aucune modification possible ensuite).</w:t>
      </w:r>
    </w:p>
    <w:p>
      <w:pPr>
        <w:pStyle w:val="Compact"/>
        <w:numPr>
          <w:ilvl w:val="0"/>
          <w:numId w:val="1011"/>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1"/>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1"/>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1"/>
        </w:numPr>
      </w:pPr>
      <w:r>
        <w:t xml:space="preserve">Archive un snapshot JSON du document (conservation 10 ans).</w:t>
      </w:r>
    </w:p>
    <w:bookmarkEnd w:id="117"/>
    <w:bookmarkStart w:id="118"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2"/>
        </w:numPr>
      </w:pPr>
      <w:r>
        <w:t xml:space="preserve">Écritures de règlement au FEC (journal BQ — Banque)</w:t>
      </w:r>
    </w:p>
    <w:p>
      <w:pPr>
        <w:pStyle w:val="Compact"/>
        <w:numPr>
          <w:ilvl w:val="0"/>
          <w:numId w:val="1012"/>
        </w:numPr>
      </w:pPr>
      <w:r>
        <w:t xml:space="preserve">Lettrage automatique des lignes 411 de l’émission et du règlement</w:t>
      </w:r>
    </w:p>
    <w:bookmarkEnd w:id="118"/>
    <w:bookmarkStart w:id="119" w:name="envoyer-par-email"/>
    <w:p>
      <w:pPr>
        <w:pStyle w:val="Heading2"/>
      </w:pPr>
      <w:r>
        <w:t xml:space="preserve">Envoyer par email</w:t>
      </w:r>
    </w:p>
    <w:p>
      <w:pPr>
        <w:pStyle w:val="Compact"/>
        <w:numPr>
          <w:ilvl w:val="0"/>
          <w:numId w:val="1013"/>
        </w:numPr>
      </w:pPr>
      <w:r>
        <w:rPr>
          <w:b/>
          <w:bCs/>
        </w:rPr>
        <w:t xml:space="preserve">Envoyer</w:t>
      </w:r>
      <w:r>
        <w:t xml:space="preserve"> </w:t>
      </w:r>
      <w:r>
        <w:t xml:space="preserve">: envoie au email du client en base.</w:t>
      </w:r>
    </w:p>
    <w:p>
      <w:pPr>
        <w:pStyle w:val="Compact"/>
        <w:numPr>
          <w:ilvl w:val="0"/>
          <w:numId w:val="1013"/>
        </w:numPr>
      </w:pPr>
      <w:r>
        <w:rPr>
          <w:b/>
          <w:bCs/>
        </w:rPr>
        <w:t xml:space="preserve">Envoyer à…</w:t>
      </w:r>
      <w:r>
        <w:t xml:space="preserve"> </w:t>
      </w:r>
      <w:r>
        <w:t xml:space="preserve">: saisissez l’adresse manuellement.</w:t>
      </w:r>
    </w:p>
    <w:p>
      <w:pPr>
        <w:pStyle w:val="Compact"/>
        <w:numPr>
          <w:ilvl w:val="0"/>
          <w:numId w:val="1013"/>
        </w:numPr>
      </w:pPr>
      <w:r>
        <w:rPr>
          <w:b/>
          <w:bCs/>
        </w:rPr>
        <w:t xml:space="preserve">Relancer</w:t>
      </w:r>
      <w:r>
        <w:t xml:space="preserve"> </w:t>
      </w:r>
      <w:r>
        <w:t xml:space="preserve">: email de relance avec sujet/corps personnalisables et PDF joint.</w:t>
      </w:r>
    </w:p>
    <w:p>
      <w:pPr>
        <w:pStyle w:val="Compact"/>
        <w:numPr>
          <w:ilvl w:val="0"/>
          <w:numId w:val="1013"/>
        </w:numPr>
      </w:pPr>
      <w:r>
        <w:rPr>
          <w:b/>
          <w:bCs/>
        </w:rPr>
        <w:t xml:space="preserve">Ouvrir dans Outlook</w:t>
      </w:r>
      <w:r>
        <w:t xml:space="preserve"> </w:t>
      </w:r>
      <w:r>
        <w:t xml:space="preserve">(Windows) : ouvre le client mail avec l’email pré-composé via MAPI.</w:t>
      </w:r>
    </w:p>
    <w:p>
      <w:pPr>
        <w:pStyle w:val="Compact"/>
        <w:numPr>
          <w:ilvl w:val="0"/>
          <w:numId w:val="1013"/>
        </w:numPr>
      </w:pPr>
      <w:r>
        <w:rPr>
          <w:b/>
          <w:bCs/>
        </w:rPr>
        <w:t xml:space="preserve">Télécharger .eml</w:t>
      </w:r>
      <w:r>
        <w:t xml:space="preserve"> </w:t>
      </w:r>
      <w:r>
        <w:t xml:space="preserve">: fichier email téléchargeable pour envoi depuis n’importe quel client mail.</w:t>
      </w:r>
    </w:p>
    <w:bookmarkEnd w:id="119"/>
    <w:bookmarkStart w:id="120"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20"/>
    <w:bookmarkStart w:id="121"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21"/>
    <w:bookmarkEnd w:id="122"/>
    <w:bookmarkStart w:id="125" w:name="avoirs-factures-davoir"/>
    <w:p>
      <w:pPr>
        <w:pStyle w:val="Heading1"/>
      </w:pPr>
      <w:r>
        <w:t xml:space="preserve">Avoirs (Factures d’avoir)</w:t>
      </w:r>
    </w:p>
    <w:bookmarkStart w:id="123" w:name="créer-un-avoir"/>
    <w:p>
      <w:pPr>
        <w:pStyle w:val="Heading2"/>
      </w:pPr>
      <w:r>
        <w:t xml:space="preserve">Créer un avoir</w:t>
      </w:r>
    </w:p>
    <w:p>
      <w:pPr>
        <w:pStyle w:val="FirstParagraph"/>
      </w:pPr>
      <w:r>
        <w:t xml:space="preserve">Deux méthodes :</w:t>
      </w:r>
    </w:p>
    <w:p>
      <w:pPr>
        <w:pStyle w:val="Compact"/>
        <w:numPr>
          <w:ilvl w:val="0"/>
          <w:numId w:val="1014"/>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4"/>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23"/>
    <w:bookmarkStart w:id="124"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24"/>
    <w:bookmarkEnd w:id="125"/>
    <w:bookmarkStart w:id="128" w:name="acomptes"/>
    <w:p>
      <w:pPr>
        <w:pStyle w:val="Heading1"/>
      </w:pPr>
      <w:r>
        <w:t xml:space="preserve">Acomptes</w:t>
      </w:r>
    </w:p>
    <w:p>
      <w:pPr>
        <w:pStyle w:val="FirstParagraph"/>
      </w:pPr>
      <w:r>
        <w:t xml:space="preserve">Les acomptes facturent une partie du montant avant livraison.</w:t>
      </w:r>
    </w:p>
    <w:bookmarkStart w:id="126" w:name="créer-un-acompte"/>
    <w:p>
      <w:pPr>
        <w:pStyle w:val="Heading2"/>
      </w:pPr>
      <w:r>
        <w:t xml:space="preserve">Créer un acompte</w:t>
      </w:r>
    </w:p>
    <w:p>
      <w:pPr>
        <w:pStyle w:val="FirstParagraph"/>
      </w:pPr>
      <w:r>
        <w:t xml:space="preserve">Depuis un devis accepté ou une facture.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w:t>
            </w:r>
          </w:p>
        </w:tc>
      </w:tr>
      <w:tr>
        <w:tc>
          <w:tcPr/>
          <w:p>
            <w:pPr>
              <w:pStyle w:val="Compact"/>
            </w:pPr>
            <w:r>
              <w:t xml:space="preserve">Montant HT</w:t>
            </w:r>
          </w:p>
        </w:tc>
        <w:tc>
          <w:tcPr/>
          <w:p>
            <w:pPr>
              <w:pStyle w:val="Compact"/>
            </w:pPr>
            <w:r>
              <w:t xml:space="preserve">Peut être saisi directement</w:t>
            </w:r>
          </w:p>
        </w:tc>
      </w:tr>
      <w:tr>
        <w:tc>
          <w:tcPr/>
          <w:p>
            <w:pPr>
              <w:pStyle w:val="Compact"/>
            </w:pPr>
            <w:r>
              <w:t xml:space="preserve">Taux TVA</w:t>
            </w:r>
          </w:p>
        </w:tc>
        <w:tc>
          <w:tcPr/>
          <w:p>
            <w:pPr>
              <w:pStyle w:val="Compact"/>
            </w:pPr>
            <w:r>
              <w:t xml:space="preserve">Appliqué à la totalité de l’acompte</w:t>
            </w:r>
          </w:p>
        </w:tc>
      </w:tr>
    </w:tbl>
    <w:bookmarkEnd w:id="126"/>
    <w:bookmarkStart w:id="127"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127"/>
    <w:bookmarkEnd w:id="128"/>
    <w:bookmarkStart w:id="131" w:name="bons-de-livraison"/>
    <w:p>
      <w:pPr>
        <w:pStyle w:val="Heading1"/>
      </w:pPr>
      <w:r>
        <w:t xml:space="preserve">Bons de livraison</w:t>
      </w:r>
    </w:p>
    <w:p>
      <w:pPr>
        <w:pStyle w:val="FirstParagraph"/>
      </w:pPr>
      <w:r>
        <w:t xml:space="preserve">Les BL documentent la remise des biens ou la réalisation des prestations.</w:t>
      </w:r>
    </w:p>
    <w:bookmarkStart w:id="129"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29"/>
    <w:bookmarkStart w:id="130"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130"/>
    <w:bookmarkEnd w:id="131"/>
    <w:bookmarkStart w:id="134" w:name="prélèvements-sepa"/>
    <w:p>
      <w:pPr>
        <w:pStyle w:val="Heading1"/>
      </w:pPr>
      <w:r>
        <w:t xml:space="preserve">Prélèvements SEPA</w:t>
      </w:r>
    </w:p>
    <w:p>
      <w:pPr>
        <w:pStyle w:val="FirstParagraph"/>
      </w:pPr>
      <w:r>
        <w:t xml:space="preserve">Génère des fichiers XML pain.008.001.02 importables dans votre interface bancaire.</w:t>
      </w:r>
    </w:p>
    <w:bookmarkStart w:id="132" w:name="prérequis"/>
    <w:p>
      <w:pPr>
        <w:pStyle w:val="Heading2"/>
      </w:pPr>
      <w:r>
        <w:t xml:space="preserve">Prérequis</w:t>
      </w:r>
    </w:p>
    <w:p>
      <w:pPr>
        <w:pStyle w:val="Compact"/>
        <w:numPr>
          <w:ilvl w:val="0"/>
          <w:numId w:val="1015"/>
        </w:numPr>
      </w:pPr>
      <w:r>
        <w:rPr>
          <w:b/>
          <w:bCs/>
        </w:rPr>
        <w:t xml:space="preserve">Entreprise</w:t>
      </w:r>
      <w:r>
        <w:t xml:space="preserve"> </w:t>
      </w:r>
      <w:r>
        <w:t xml:space="preserve">: ICS, IBAN, BIC renseignés dans Paramètres.</w:t>
      </w:r>
    </w:p>
    <w:p>
      <w:pPr>
        <w:pStyle w:val="Compact"/>
        <w:numPr>
          <w:ilvl w:val="0"/>
          <w:numId w:val="1015"/>
        </w:numPr>
      </w:pPr>
      <w:r>
        <w:rPr>
          <w:b/>
          <w:bCs/>
        </w:rPr>
        <w:t xml:space="preserve">Client</w:t>
      </w:r>
      <w:r>
        <w:t xml:space="preserve"> </w:t>
      </w:r>
      <w:r>
        <w:t xml:space="preserve">: IBAN, BIC, RUM, date de mandat dans la fiche client.</w:t>
      </w:r>
    </w:p>
    <w:bookmarkEnd w:id="132"/>
    <w:bookmarkStart w:id="133" w:name="générer-un-fichier-sepa"/>
    <w:p>
      <w:pPr>
        <w:pStyle w:val="Heading2"/>
      </w:pPr>
      <w:r>
        <w:t xml:space="preserve">Générer un fichier SEPA</w:t>
      </w:r>
    </w:p>
    <w:p>
      <w:pPr>
        <w:pStyle w:val="Compact"/>
        <w:numPr>
          <w:ilvl w:val="0"/>
          <w:numId w:val="1016"/>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6"/>
        </w:numPr>
      </w:pPr>
      <w:r>
        <w:t xml:space="preserve">Cliquer</w:t>
      </w:r>
      <w:r>
        <w:t xml:space="preserve"> </w:t>
      </w:r>
      <w:r>
        <w:rPr>
          <w:b/>
          <w:bCs/>
        </w:rPr>
        <w:t xml:space="preserve">Générer SEPA</w:t>
      </w:r>
      <w:r>
        <w:t xml:space="preserve">.</w:t>
      </w:r>
    </w:p>
    <w:p>
      <w:pPr>
        <w:pStyle w:val="Compact"/>
        <w:numPr>
          <w:ilvl w:val="0"/>
          <w:numId w:val="1016"/>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6"/>
        </w:numPr>
      </w:pPr>
      <w:r>
        <w:t xml:space="preserve">Télécharger le fichier XML et l’importer dans votre banque.</w:t>
      </w:r>
    </w:p>
    <w:p>
      <w:r>
        <w:pict>
          <v:rect style="width:0;height:1.5pt" o:hralign="center" o:hrstd="t" o:hr="t"/>
        </w:pict>
      </w:r>
    </w:p>
    <w:bookmarkEnd w:id="133"/>
    <w:bookmarkEnd w:id="134"/>
    <w:bookmarkStart w:id="145" w:name="statistiques"/>
    <w:p>
      <w:pPr>
        <w:pStyle w:val="Heading1"/>
      </w:pPr>
      <w:r>
        <w:t xml:space="preserve">Statistiques</w:t>
      </w:r>
    </w:p>
    <w:p>
      <w:pPr>
        <w:pStyle w:val="CaptionedFigure"/>
      </w:pPr>
      <w:r>
        <w:drawing>
          <wp:inline>
            <wp:extent cx="5334000" cy="2637413"/>
            <wp:effectExtent b="0" l="0" r="0" t="0"/>
            <wp:docPr descr="Statistiques KPIs" title="" id="136" name="Picture"/>
            <a:graphic>
              <a:graphicData uri="http://schemas.openxmlformats.org/drawingml/2006/picture">
                <pic:pic>
                  <pic:nvPicPr>
                    <pic:cNvPr descr="screenshots/08-stats-kpis.png" id="137" name="Picture"/>
                    <pic:cNvPicPr>
                      <a:picLocks noChangeArrowheads="1" noChangeAspect="1"/>
                    </pic:cNvPicPr>
                  </pic:nvPicPr>
                  <pic:blipFill>
                    <a:blip r:embed="rId1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38"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38"/>
    <w:bookmarkStart w:id="139"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39"/>
    <w:bookmarkStart w:id="140" w:name="évolution-du-ca"/>
    <w:p>
      <w:pPr>
        <w:pStyle w:val="Heading2"/>
      </w:pPr>
      <w:r>
        <w:t xml:space="preserve">Évolution du CA</w:t>
      </w:r>
    </w:p>
    <w:p>
      <w:pPr>
        <w:pStyle w:val="FirstParagraph"/>
      </w:pPr>
      <w:r>
        <w:t xml:space="preserve">Graphique en barres sur 12 mois glissants : CA facturé vs CA encaissé.</w:t>
      </w:r>
    </w:p>
    <w:bookmarkEnd w:id="140"/>
    <w:bookmarkStart w:id="141"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41"/>
    <w:bookmarkStart w:id="142" w:name="top-clients-et-top-articles"/>
    <w:p>
      <w:pPr>
        <w:pStyle w:val="Heading2"/>
      </w:pPr>
      <w:r>
        <w:t xml:space="preserve">Top clients et top articles</w:t>
      </w:r>
    </w:p>
    <w:p>
      <w:pPr>
        <w:pStyle w:val="FirstParagraph"/>
      </w:pPr>
      <w:r>
        <w:t xml:space="preserve">Top 10 clients par CA HT et top 10 articles sur l’année.</w:t>
      </w:r>
    </w:p>
    <w:bookmarkEnd w:id="142"/>
    <w:bookmarkStart w:id="143" w:name="trésorerie-et-dso"/>
    <w:p>
      <w:pPr>
        <w:pStyle w:val="Heading2"/>
      </w:pPr>
      <w:r>
        <w:t xml:space="preserve">Trésorerie et DSO</w:t>
      </w:r>
    </w:p>
    <w:p>
      <w:pPr>
        <w:pStyle w:val="Compact"/>
        <w:numPr>
          <w:ilvl w:val="0"/>
          <w:numId w:val="1017"/>
        </w:numPr>
      </w:pPr>
      <w:r>
        <w:rPr>
          <w:b/>
          <w:bCs/>
        </w:rPr>
        <w:t xml:space="preserve">DSO</w:t>
      </w:r>
      <w:r>
        <w:t xml:space="preserve"> </w:t>
      </w:r>
      <w:r>
        <w:t xml:space="preserve">(Days Sales Outstanding) : délai moyen de paiement en jours.</w:t>
      </w:r>
    </w:p>
    <w:p>
      <w:pPr>
        <w:pStyle w:val="Compact"/>
        <w:numPr>
          <w:ilvl w:val="0"/>
          <w:numId w:val="1017"/>
        </w:numPr>
      </w:pPr>
      <w:r>
        <w:rPr>
          <w:b/>
          <w:bCs/>
        </w:rPr>
        <w:t xml:space="preserve">Prévisions</w:t>
      </w:r>
      <w:r>
        <w:t xml:space="preserve"> </w:t>
      </w:r>
      <w:r>
        <w:t xml:space="preserve">: encaissements attendus groupés par semaine sur 90 jours.</w:t>
      </w:r>
    </w:p>
    <w:bookmarkEnd w:id="143"/>
    <w:bookmarkStart w:id="144"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44"/>
    <w:bookmarkEnd w:id="145"/>
    <w:bookmarkStart w:id="152" w:name="déclaration-tva-ca3"/>
    <w:p>
      <w:pPr>
        <w:pStyle w:val="Heading1"/>
      </w:pPr>
      <w:r>
        <w:t xml:space="preserve">Déclaration TVA (CA3)</w:t>
      </w:r>
    </w:p>
    <w:p>
      <w:pPr>
        <w:pStyle w:val="CaptionedFigure"/>
      </w:pPr>
      <w:r>
        <w:drawing>
          <wp:inline>
            <wp:extent cx="5334000" cy="2637413"/>
            <wp:effectExtent b="0" l="0" r="0" t="0"/>
            <wp:docPr descr="Déclaration TVA" title="" id="147" name="Picture"/>
            <a:graphic>
              <a:graphicData uri="http://schemas.openxmlformats.org/drawingml/2006/picture">
                <pic:pic>
                  <pic:nvPicPr>
                    <pic:cNvPr descr="screenshots/09-decl-tva.png" id="148" name="Picture"/>
                    <pic:cNvPicPr>
                      <a:picLocks noChangeArrowheads="1" noChangeAspect="1"/>
                    </pic:cNvPicPr>
                  </pic:nvPicPr>
                  <pic:blipFill>
                    <a:blip r:embed="rId14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49"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49"/>
    <w:bookmarkStart w:id="150"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50"/>
    <w:bookmarkStart w:id="151"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51"/>
    <w:bookmarkEnd w:id="152"/>
    <w:bookmarkStart w:id="160" w:name="exercices-comptables"/>
    <w:p>
      <w:pPr>
        <w:pStyle w:val="Heading1"/>
      </w:pPr>
      <w:r>
        <w:t xml:space="preserve">Exercices comptables</w:t>
      </w:r>
    </w:p>
    <w:p>
      <w:pPr>
        <w:pStyle w:val="CaptionedFigure"/>
      </w:pPr>
      <w:r>
        <w:drawing>
          <wp:inline>
            <wp:extent cx="5334000" cy="2637413"/>
            <wp:effectExtent b="0" l="0" r="0" t="0"/>
            <wp:docPr descr="Exercices comptables" title="" id="154" name="Picture"/>
            <a:graphic>
              <a:graphicData uri="http://schemas.openxmlformats.org/drawingml/2006/picture">
                <pic:pic>
                  <pic:nvPicPr>
                    <pic:cNvPr descr="screenshots/10-exercices.png" id="155" name="Picture"/>
                    <pic:cNvPicPr>
                      <a:picLocks noChangeArrowheads="1" noChangeAspect="1"/>
                    </pic:cNvPicPr>
                  </pic:nvPicPr>
                  <pic:blipFill>
                    <a:blip r:embed="rId15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56" w:name="ouvrir-un-exercice"/>
    <w:p>
      <w:pPr>
        <w:pStyle w:val="Heading2"/>
      </w:pPr>
      <w:r>
        <w:t xml:space="preserve">Ouvrir un exercice</w:t>
      </w:r>
    </w:p>
    <w:p>
      <w:pPr>
        <w:pStyle w:val="Compact"/>
        <w:numPr>
          <w:ilvl w:val="0"/>
          <w:numId w:val="1018"/>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18"/>
        </w:numPr>
      </w:pPr>
      <w:r>
        <w:t xml:space="preserve">Sélectionnez l’</w:t>
      </w:r>
      <w:r>
        <w:rPr>
          <w:b/>
          <w:bCs/>
        </w:rPr>
        <w:t xml:space="preserve">année</w:t>
      </w:r>
      <w:r>
        <w:t xml:space="preserve">.</w:t>
      </w:r>
    </w:p>
    <w:p>
      <w:pPr>
        <w:pStyle w:val="Compact"/>
        <w:numPr>
          <w:ilvl w:val="0"/>
          <w:numId w:val="1018"/>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56"/>
    <w:bookmarkStart w:id="157" w:name="clôturer-un-exercice"/>
    <w:p>
      <w:pPr>
        <w:pStyle w:val="Heading2"/>
      </w:pPr>
      <w:r>
        <w:t xml:space="preserve">Clôturer un exercice</w:t>
      </w:r>
    </w:p>
    <w:p>
      <w:pPr>
        <w:pStyle w:val="Compact"/>
        <w:numPr>
          <w:ilvl w:val="0"/>
          <w:numId w:val="1019"/>
        </w:numPr>
      </w:pPr>
      <w:r>
        <w:t xml:space="preserve">Cliquez</w:t>
      </w:r>
      <w:r>
        <w:t xml:space="preserve"> </w:t>
      </w:r>
      <w:r>
        <w:rPr>
          <w:b/>
          <w:bCs/>
        </w:rPr>
        <w:t xml:space="preserve">🔒 Clôturer</w:t>
      </w:r>
      <w:r>
        <w:t xml:space="preserve"> </w:t>
      </w:r>
      <w:r>
        <w:t xml:space="preserve">sur la ligne de l’exercice.</w:t>
      </w:r>
    </w:p>
    <w:p>
      <w:pPr>
        <w:pStyle w:val="Compact"/>
        <w:numPr>
          <w:ilvl w:val="0"/>
          <w:numId w:val="1019"/>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19"/>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0"/>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0"/>
        </w:numPr>
      </w:pPr>
      <w:r>
        <w:t xml:space="preserve">Enregistre la date, le nombre d’écritures et l’empreinte.</w:t>
      </w:r>
    </w:p>
    <w:p>
      <w:pPr>
        <w:pStyle w:val="Compact"/>
        <w:numPr>
          <w:ilvl w:val="0"/>
          <w:numId w:val="1020"/>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157"/>
    <w:bookmarkStart w:id="158"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158"/>
    <w:bookmarkStart w:id="159"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1"/>
        </w:numPr>
      </w:pPr>
      <w:r>
        <w:t xml:space="preserve">Raison sociale, SIRET</w:t>
      </w:r>
    </w:p>
    <w:p>
      <w:pPr>
        <w:pStyle w:val="Compact"/>
        <w:numPr>
          <w:ilvl w:val="0"/>
          <w:numId w:val="1021"/>
        </w:numPr>
      </w:pPr>
      <w:r>
        <w:t xml:space="preserve">Période fiscale</w:t>
      </w:r>
    </w:p>
    <w:p>
      <w:pPr>
        <w:pStyle w:val="Compact"/>
        <w:numPr>
          <w:ilvl w:val="0"/>
          <w:numId w:val="1021"/>
        </w:numPr>
      </w:pPr>
      <w:r>
        <w:t xml:space="preserve">Date et heure de clôture</w:t>
      </w:r>
    </w:p>
    <w:p>
      <w:pPr>
        <w:pStyle w:val="Compact"/>
        <w:numPr>
          <w:ilvl w:val="0"/>
          <w:numId w:val="1021"/>
        </w:numPr>
      </w:pPr>
      <w:r>
        <w:t xml:space="preserve">Nombre d’écritures comptables</w:t>
      </w:r>
    </w:p>
    <w:p>
      <w:pPr>
        <w:pStyle w:val="Compact"/>
        <w:numPr>
          <w:ilvl w:val="0"/>
          <w:numId w:val="1021"/>
        </w:numPr>
      </w:pPr>
      <w:r>
        <w:rPr>
          <w:b/>
          <w:bCs/>
        </w:rPr>
        <w:t xml:space="preserve">Empreinte SHA-256</w:t>
      </w:r>
      <w:r>
        <w:t xml:space="preserve"> </w:t>
      </w:r>
      <w:r>
        <w:t xml:space="preserve">du FEC (preuve d’intégrité opposable)</w:t>
      </w:r>
    </w:p>
    <w:p>
      <w:pPr>
        <w:pStyle w:val="Compact"/>
        <w:numPr>
          <w:ilvl w:val="0"/>
          <w:numId w:val="1021"/>
        </w:numPr>
      </w:pPr>
      <w:r>
        <w:t xml:space="preserve">Référence légale : art. 88 loi 2015-1785 + art. 286-I-3° CGI</w:t>
      </w:r>
    </w:p>
    <w:p>
      <w:pPr>
        <w:pStyle w:val="Compact"/>
        <w:numPr>
          <w:ilvl w:val="0"/>
          <w:numId w:val="1021"/>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159"/>
    <w:bookmarkEnd w:id="160"/>
    <w:bookmarkStart w:id="166" w:name="lettrage"/>
    <w:p>
      <w:pPr>
        <w:pStyle w:val="Heading1"/>
      </w:pPr>
      <w:r>
        <w:t xml:space="preserve">Lettrage</w:t>
      </w:r>
    </w:p>
    <w:p>
      <w:pPr>
        <w:pStyle w:val="CaptionedFigure"/>
      </w:pPr>
      <w:r>
        <w:drawing>
          <wp:inline>
            <wp:extent cx="5334000" cy="2637413"/>
            <wp:effectExtent b="0" l="0" r="0" t="0"/>
            <wp:docPr descr="Lettrage comptable" title="" id="162" name="Picture"/>
            <a:graphic>
              <a:graphicData uri="http://schemas.openxmlformats.org/drawingml/2006/picture">
                <pic:pic>
                  <pic:nvPicPr>
                    <pic:cNvPr descr="screenshots/11-lettrage.png" id="163" name="Picture"/>
                    <pic:cNvPicPr>
                      <a:picLocks noChangeArrowheads="1" noChangeAspect="1"/>
                    </pic:cNvPicPr>
                  </pic:nvPicPr>
                  <pic:blipFill>
                    <a:blip r:embed="rId16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164"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164"/>
    <w:bookmarkStart w:id="165" w:name="lettrage-manuel"/>
    <w:p>
      <w:pPr>
        <w:pStyle w:val="Heading2"/>
      </w:pPr>
      <w:r>
        <w:t xml:space="preserve">Lettrage manuel</w:t>
      </w:r>
    </w:p>
    <w:p>
      <w:pPr>
        <w:pStyle w:val="Compact"/>
        <w:numPr>
          <w:ilvl w:val="0"/>
          <w:numId w:val="1022"/>
        </w:numPr>
      </w:pPr>
      <w:r>
        <w:t xml:space="preserve">Sélectionnez un client dans le filtre.</w:t>
      </w:r>
    </w:p>
    <w:p>
      <w:pPr>
        <w:pStyle w:val="Compact"/>
        <w:numPr>
          <w:ilvl w:val="0"/>
          <w:numId w:val="1022"/>
        </w:numPr>
      </w:pPr>
      <w:r>
        <w:t xml:space="preserve">Cochez les lignes à rapprocher (débit = crédit à 0,01 € près requis).</w:t>
      </w:r>
    </w:p>
    <w:p>
      <w:pPr>
        <w:pStyle w:val="Compact"/>
        <w:numPr>
          <w:ilvl w:val="0"/>
          <w:numId w:val="1022"/>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2"/>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165"/>
    <w:bookmarkEnd w:id="166"/>
    <w:bookmarkStart w:id="170" w:name="journal-daudit"/>
    <w:p>
      <w:pPr>
        <w:pStyle w:val="Heading1"/>
      </w:pPr>
      <w:r>
        <w:t xml:space="preserve">Journal d’audit</w:t>
      </w:r>
    </w:p>
    <w:p>
      <w:pPr>
        <w:pStyle w:val="CaptionedFigure"/>
      </w:pPr>
      <w:r>
        <w:drawing>
          <wp:inline>
            <wp:extent cx="5334000" cy="2637413"/>
            <wp:effectExtent b="0" l="0" r="0" t="0"/>
            <wp:docPr descr="Journal d’audit" title="" id="168" name="Picture"/>
            <a:graphic>
              <a:graphicData uri="http://schemas.openxmlformats.org/drawingml/2006/picture">
                <pic:pic>
                  <pic:nvPicPr>
                    <pic:cNvPr descr="screenshots/18-audit.png" id="169" name="Picture"/>
                    <pic:cNvPicPr>
                      <a:picLocks noChangeArrowheads="1" noChangeAspect="1"/>
                    </pic:cNvPicPr>
                  </pic:nvPicPr>
                  <pic:blipFill>
                    <a:blip r:embed="rId16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170"/>
    <w:bookmarkStart w:id="174" w:name="archives"/>
    <w:p>
      <w:pPr>
        <w:pStyle w:val="Heading1"/>
      </w:pPr>
      <w:r>
        <w:t xml:space="preserve">Archives</w:t>
      </w:r>
    </w:p>
    <w:p>
      <w:pPr>
        <w:pStyle w:val="CaptionedFigure"/>
      </w:pPr>
      <w:r>
        <w:drawing>
          <wp:inline>
            <wp:extent cx="5334000" cy="2637413"/>
            <wp:effectExtent b="0" l="0" r="0" t="0"/>
            <wp:docPr descr="Archives" title="" id="172" name="Picture"/>
            <a:graphic>
              <a:graphicData uri="http://schemas.openxmlformats.org/drawingml/2006/picture">
                <pic:pic>
                  <pic:nvPicPr>
                    <pic:cNvPr descr="screenshots/12-archives.png" id="173" name="Picture"/>
                    <pic:cNvPicPr>
                      <a:picLocks noChangeArrowheads="1" noChangeAspect="1"/>
                    </pic:cNvPicPr>
                  </pic:nvPicPr>
                  <pic:blipFill>
                    <a:blip r:embed="rId17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3"/>
        </w:numPr>
      </w:pPr>
      <w:r>
        <w:t xml:space="preserve">Chaque document émis est archivé automatiquement avec un</w:t>
      </w:r>
      <w:r>
        <w:t xml:space="preserve"> </w:t>
      </w:r>
      <w:r>
        <w:rPr>
          <w:b/>
          <w:bCs/>
        </w:rPr>
        <w:t xml:space="preserve">hash SHA-256</w:t>
      </w:r>
      <w:r>
        <w:t xml:space="preserve">.</w:t>
      </w:r>
    </w:p>
    <w:p>
      <w:pPr>
        <w:pStyle w:val="Compact"/>
        <w:numPr>
          <w:ilvl w:val="0"/>
          <w:numId w:val="1023"/>
        </w:numPr>
      </w:pPr>
      <w:r>
        <w:t xml:space="preserve">Conservation légale :</w:t>
      </w:r>
      <w:r>
        <w:t xml:space="preserve"> </w:t>
      </w:r>
      <w:r>
        <w:rPr>
          <w:b/>
          <w:bCs/>
        </w:rPr>
        <w:t xml:space="preserve">10 ans</w:t>
      </w:r>
      <w:r>
        <w:t xml:space="preserve">.</w:t>
      </w:r>
    </w:p>
    <w:p>
      <w:pPr>
        <w:pStyle w:val="Compact"/>
        <w:numPr>
          <w:ilvl w:val="0"/>
          <w:numId w:val="1023"/>
        </w:numPr>
      </w:pPr>
      <w:r>
        <w:t xml:space="preserve">Lecture seule — modification et suppression impossibles (trigger DB).</w:t>
      </w:r>
    </w:p>
    <w:p>
      <w:r>
        <w:pict>
          <v:rect style="width:0;height:1.5pt" o:hralign="center" o:hrstd="t" o:hr="t"/>
        </w:pict>
      </w:r>
    </w:p>
    <w:bookmarkEnd w:id="174"/>
    <w:bookmarkStart w:id="178"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175" w:name="comment-ça-fonctionne"/>
    <w:p>
      <w:pPr>
        <w:pStyle w:val="Heading2"/>
      </w:pPr>
      <w:r>
        <w:t xml:space="preserve">Comment ça fonctionne</w:t>
      </w:r>
    </w:p>
    <w:p>
      <w:pPr>
        <w:pStyle w:val="Compact"/>
        <w:numPr>
          <w:ilvl w:val="0"/>
          <w:numId w:val="1024"/>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4"/>
        </w:numPr>
      </w:pPr>
      <w:r>
        <w:t xml:space="preserve">Pour chaque facture, il vérifie qu’aucune relance n’a été envoyée dans les N derniers jours.</w:t>
      </w:r>
    </w:p>
    <w:p>
      <w:pPr>
        <w:pStyle w:val="Compact"/>
        <w:numPr>
          <w:ilvl w:val="0"/>
          <w:numId w:val="1024"/>
        </w:numPr>
      </w:pPr>
      <w:r>
        <w:t xml:space="preserve">Un email de relance est envoyé au client.</w:t>
      </w:r>
    </w:p>
    <w:p>
      <w:pPr>
        <w:pStyle w:val="Compact"/>
        <w:numPr>
          <w:ilvl w:val="0"/>
          <w:numId w:val="1024"/>
        </w:numPr>
      </w:pPr>
      <w:r>
        <w:t xml:space="preserve">La date de dernière relance et le compteur sont mis à jour sur la facture.</w:t>
      </w:r>
    </w:p>
    <w:bookmarkEnd w:id="175"/>
    <w:bookmarkStart w:id="176"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176"/>
    <w:bookmarkStart w:id="177"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177"/>
    <w:bookmarkEnd w:id="178"/>
    <w:bookmarkStart w:id="182" w:name="gestion-des-utilisateurs"/>
    <w:p>
      <w:pPr>
        <w:pStyle w:val="Heading1"/>
      </w:pPr>
      <w:r>
        <w:t xml:space="preserve">Gestion des utilisateurs</w:t>
      </w:r>
    </w:p>
    <w:bookmarkStart w:id="179"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179"/>
    <w:bookmarkStart w:id="180"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180"/>
    <w:bookmarkStart w:id="181"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p>
      <w:r>
        <w:pict>
          <v:rect style="width:0;height:1.5pt" o:hralign="center" o:hrstd="t" o:hr="t"/>
        </w:pict>
      </w:r>
    </w:p>
    <w:bookmarkEnd w:id="181"/>
    <w:bookmarkEnd w:id="182"/>
    <w:bookmarkStart w:id="189" w:name="sauvegardes"/>
    <w:p>
      <w:pPr>
        <w:pStyle w:val="Heading1"/>
      </w:pPr>
      <w:r>
        <w:t xml:space="preserve">Sauvegardes</w:t>
      </w:r>
    </w:p>
    <w:p>
      <w:pPr>
        <w:pStyle w:val="CaptionedFigure"/>
      </w:pPr>
      <w:r>
        <w:drawing>
          <wp:inline>
            <wp:extent cx="5334000" cy="2637413"/>
            <wp:effectExtent b="0" l="0" r="0" t="0"/>
            <wp:docPr descr="Sauvegardes" title="" id="184" name="Picture"/>
            <a:graphic>
              <a:graphicData uri="http://schemas.openxmlformats.org/drawingml/2006/picture">
                <pic:pic>
                  <pic:nvPicPr>
                    <pic:cNvPr descr="screenshots/19-sauvegardes.png" id="185" name="Picture"/>
                    <pic:cNvPicPr>
                      <a:picLocks noChangeArrowheads="1" noChangeAspect="1"/>
                    </pic:cNvPicPr>
                  </pic:nvPicPr>
                  <pic:blipFill>
                    <a:blip r:embed="rId18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186"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186"/>
    <w:bookmarkStart w:id="187"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187"/>
    <w:bookmarkStart w:id="188"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p>
      <w:r>
        <w:pict>
          <v:rect style="width:0;height:1.5pt" o:hralign="center" o:hrstd="t" o:hr="t"/>
        </w:pict>
      </w:r>
    </w:p>
    <w:bookmarkEnd w:id="188"/>
    <w:bookmarkEnd w:id="189"/>
    <w:bookmarkStart w:id="194" w:name="conformité-fiscale"/>
    <w:p>
      <w:pPr>
        <w:pStyle w:val="Heading1"/>
      </w:pPr>
      <w:r>
        <w:t xml:space="preserve">Conformité fiscale</w:t>
      </w:r>
    </w:p>
    <w:bookmarkStart w:id="190"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190"/>
    <w:bookmarkStart w:id="191"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191"/>
    <w:bookmarkStart w:id="192"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25"/>
        </w:numPr>
      </w:pPr>
      <w:r>
        <w:t xml:space="preserve">Lisible directement par les logiciels comptables (Sage, EBP, Cegid, Pennylane…).</w:t>
      </w:r>
    </w:p>
    <w:p>
      <w:pPr>
        <w:pStyle w:val="Compact"/>
        <w:numPr>
          <w:ilvl w:val="0"/>
          <w:numId w:val="1025"/>
        </w:numPr>
      </w:pPr>
      <w:r>
        <w:t xml:space="preserve">Compatible avec l’e-invoicing européen (e-Reporting, PPF).</w:t>
      </w:r>
    </w:p>
    <w:p>
      <w:pPr>
        <w:pStyle w:val="Compact"/>
        <w:numPr>
          <w:ilvl w:val="0"/>
          <w:numId w:val="1025"/>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192"/>
    <w:bookmarkStart w:id="193"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193"/>
    <w:bookmarkEnd w:id="194"/>
    <w:bookmarkStart w:id="195"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v2.13.0 — 2026</w:t>
      </w:r>
    </w:p>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11" Target="media/rId111.png" /><Relationship Type="http://schemas.openxmlformats.org/officeDocument/2006/relationships/image" Id="rId96" Target="media/rId96.png" /><Relationship Type="http://schemas.openxmlformats.org/officeDocument/2006/relationships/image" Id="rId135" Target="media/rId135.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71" Target="media/rId171.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167" Target="media/rId167.png" /><Relationship Type="http://schemas.openxmlformats.org/officeDocument/2006/relationships/image" Id="rId183" Target="media/rId1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2026-06-02T21:56:28Z</dcterms:created>
  <dcterms:modified xsi:type="dcterms:W3CDTF">2026-06-02T21:56:28Z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ies>
</file>