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50.png" ContentType="image/png"/>
  <Override PartName="/word/media/rId71.png" ContentType="image/png"/>
  <Override PartName="/word/media/rId122.png" ContentType="image/png"/>
  <Override PartName="/word/media/rId107.png" ContentType="image/png"/>
  <Override PartName="/word/media/rId179.png" ContentType="image/png"/>
  <Override PartName="/word/media/rId190.png" ContentType="image/png"/>
  <Override PartName="/word/media/rId197.png" ContentType="image/png"/>
  <Override PartName="/word/media/rId205.png" ContentType="image/png"/>
  <Override PartName="/word/media/rId215.png" ContentType="image/png"/>
  <Override PartName="/word/media/rId35.png" ContentType="image/png"/>
  <Override PartName="/word/media/rId43.png" ContentType="image/png"/>
  <Override PartName="/word/media/rId88.png" ContentType="image/png"/>
  <Override PartName="/word/media/rId92.png" ContentType="image/png"/>
  <Override PartName="/word/media/rId102.png" ContentType="image/png"/>
  <Override PartName="/word/media/rId211.png" ContentType="image/png"/>
  <Override PartName="/word/media/rId231.png" ContentType="image/png"/>
  <Override PartName="/word/media/rId154.png" ContentType="image/png"/>
  <Override PartName="/word/media/rId157.png" ContentType="image/png"/>
  <Override PartName="/word/media/rId161.png" ContentType="image/png"/>
  <Override PartName="/word/media/rId241.png" ContentType="image/png"/>
  <Override PartName="/word/media/rId225.png" ContentType="image/png"/>
  <Override PartName="/word/media/rId237.png" ContentType="image/png"/>
  <Override PartName="/word/media/rId164.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4"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regroupées par catégories repliables. Sur mobile ou petit écran, elle se replie avec le bouton</w:t>
      </w:r>
      <w:r>
        <w:t xml:space="preserve"> </w:t>
      </w:r>
      <w:r>
        <w:rPr>
          <w:b/>
          <w:bCs/>
        </w:rPr>
        <w:t xml:space="preserve">☰</w:t>
      </w:r>
      <w:r>
        <w:t xml:space="preserve"> </w:t>
      </w:r>
      <w:r>
        <w:t xml:space="preserve">et peut être rouverte avec le même bouton.</w:t>
      </w:r>
    </w:p>
    <w:p>
      <w:pPr>
        <w:pStyle w:val="BodyText"/>
      </w:pPr>
      <w:r>
        <w:t xml:space="preserve">Trois rubriques restent toujours visibles en haut de la barre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Paramètres</w:t>
            </w:r>
          </w:p>
        </w:tc>
      </w:tr>
    </w:tbl>
    <w:p>
      <w:pPr>
        <w:pStyle w:val="BodyText"/>
      </w:pPr>
      <w:r>
        <w:t xml:space="preserve">Les autres rubriques sont organisées en</w:t>
      </w:r>
      <w:r>
        <w:t xml:space="preserve"> </w:t>
      </w:r>
      <w:r>
        <w:rPr>
          <w:b/>
          <w:bCs/>
        </w:rPr>
        <w:t xml:space="preserve">catégories cliquables</w:t>
      </w:r>
      <w:r>
        <w:t xml:space="preserve"> </w:t>
      </w:r>
      <w:r>
        <w:t xml:space="preserve">(icône</w:t>
      </w:r>
      <w:r>
        <w:t xml:space="preserve"> </w:t>
      </w:r>
      <w:r>
        <w:rPr>
          <w:b/>
          <w:bCs/>
        </w:rPr>
        <w:t xml:space="preserve">▾</w:t>
      </w:r>
      <w:r>
        <w:t xml:space="preserve">) qui se déplient pour révéler leurs sous-rubriques ; cliquer à nouveau sur l’en-tête de catégorie la replie :</w:t>
      </w:r>
    </w:p>
    <w:p>
      <w:pPr>
        <w:pStyle w:val="BodyText"/>
      </w:pPr>
      <w:r>
        <w:rPr>
          <w:b/>
          <w:bCs/>
        </w:rPr>
        <w:t xml:space="preserve">🛍️ Ventes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bl>
    <w:p>
      <w:pPr>
        <w:pStyle w:val="BodyText"/>
      </w:pPr>
      <w:r>
        <w:rPr>
          <w:b/>
          <w:bCs/>
        </w:rPr>
        <w:t xml:space="preserve">🛒 Achats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Fournisseurs</w:t>
            </w:r>
          </w:p>
        </w:tc>
      </w:tr>
      <w:tr>
        <w:tc>
          <w:tcPr/>
          <w:p>
            <w:pPr>
              <w:pStyle w:val="Compact"/>
            </w:pPr>
            <w:r>
              <w:t xml:space="preserve">📝</w:t>
            </w:r>
          </w:p>
        </w:tc>
        <w:tc>
          <w:tcPr/>
          <w:p>
            <w:pPr>
              <w:pStyle w:val="Compact"/>
            </w:pPr>
            <w:r>
              <w:t xml:space="preserve">Commandes</w:t>
            </w:r>
          </w:p>
        </w:tc>
      </w:tr>
      <w:tr>
        <w:tc>
          <w:tcPr/>
          <w:p>
            <w:pPr>
              <w:pStyle w:val="Compact"/>
            </w:pPr>
            <w:r>
              <w:t xml:space="preserve">📥</w:t>
            </w:r>
          </w:p>
        </w:tc>
        <w:tc>
          <w:tcPr/>
          <w:p>
            <w:pPr>
              <w:pStyle w:val="Compact"/>
            </w:pPr>
            <w:r>
              <w:t xml:space="preserve">Factures d’achats</w:t>
            </w:r>
          </w:p>
        </w:tc>
      </w:tr>
    </w:tbl>
    <w:p>
      <w:pPr>
        <w:pStyle w:val="BodyText"/>
      </w:pPr>
      <w:r>
        <w:rPr>
          <w:b/>
          <w:bCs/>
        </w:rPr>
        <w:t xml:space="preserve">🧮 Comptabilité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Journal d’audit</w:t>
            </w:r>
          </w:p>
        </w:tc>
      </w:tr>
    </w:tbl>
    <w:p>
      <w:pPr>
        <w:pStyle w:val="BlockText"/>
      </w:pPr>
      <w:r>
        <w:t xml:space="preserve">Ce regroupement par catégories simplifie la navigation : seules les rubriques de la catégorie ouverte sont affichées, ce qui réduit l’encombrement de la barre latérale au quotidien.</w:t>
      </w:r>
    </w:p>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bookmarkEnd w:id="32"/>
    <w:bookmarkStart w:id="33" w:name="recherche-globale-v3.2.11"/>
    <w:p>
      <w:pPr>
        <w:pStyle w:val="Heading2"/>
      </w:pPr>
      <w:r>
        <w:t xml:space="preserve">Recherche globale (v3.2.11)</w:t>
      </w:r>
    </w:p>
    <w:p>
      <w:pPr>
        <w:pStyle w:val="FirstParagraph"/>
      </w:pPr>
      <w:r>
        <w:t xml:space="preserve">Le champ</w:t>
      </w:r>
      <w:r>
        <w:t xml:space="preserve"> </w:t>
      </w:r>
      <w:r>
        <w:rPr>
          <w:b/>
          <w:bCs/>
        </w:rPr>
        <w:t xml:space="preserve">🔍</w:t>
      </w:r>
      <w:r>
        <w:t xml:space="preserve"> </w:t>
      </w:r>
      <w:r>
        <w:t xml:space="preserve">en haut de l’écran a un double rôle :</w:t>
      </w:r>
    </w:p>
    <w:p>
      <w:pPr>
        <w:pStyle w:val="Compact"/>
        <w:numPr>
          <w:ilvl w:val="0"/>
          <w:numId w:val="1003"/>
        </w:numPr>
      </w:pPr>
      <w:r>
        <w:t xml:space="preserve">Sur une liste ou un document ouvert, il</w:t>
      </w:r>
      <w:r>
        <w:t xml:space="preserve"> </w:t>
      </w:r>
      <w:r>
        <w:rPr>
          <w:b/>
          <w:bCs/>
        </w:rPr>
        <w:t xml:space="preserve">filtre instantanément les lignes affichées</w:t>
      </w:r>
      <w:r>
        <w:t xml:space="preserve"> </w:t>
      </w:r>
      <w:r>
        <w:t xml:space="preserve">(comportement inchangé).</w:t>
      </w:r>
    </w:p>
    <w:p>
      <w:pPr>
        <w:pStyle w:val="Compact"/>
        <w:numPr>
          <w:ilvl w:val="0"/>
          <w:numId w:val="1003"/>
        </w:numPr>
      </w:pPr>
      <w:r>
        <w:t xml:space="preserve">À partir de</w:t>
      </w:r>
      <w:r>
        <w:t xml:space="preserve"> </w:t>
      </w:r>
      <w:r>
        <w:rPr>
          <w:b/>
          <w:bCs/>
        </w:rPr>
        <w:t xml:space="preserve">2 caractères</w:t>
      </w:r>
      <w:r>
        <w:t xml:space="preserve">, il déclenche en plus une</w:t>
      </w:r>
      <w:r>
        <w:t xml:space="preserve"> </w:t>
      </w:r>
      <w:r>
        <w:rPr>
          <w:b/>
          <w:bCs/>
        </w:rPr>
        <w:t xml:space="preserve">recherche globale</w:t>
      </w:r>
      <w:r>
        <w:t xml:space="preserve"> </w:t>
      </w:r>
      <w:r>
        <w:t xml:space="preserve">dans toute votre société : devis, factures, bons de livraison, acomptes, clients, articles, commandes fournisseurs et factures d’achats.</w:t>
      </w:r>
    </w:p>
    <w:p>
      <w:pPr>
        <w:pStyle w:val="FirstParagraph"/>
      </w:pPr>
      <w:r>
        <w:t xml:space="preserve">Les résultats apparaissent dans un menu déroulant,</w:t>
      </w:r>
      <w:r>
        <w:t xml:space="preserve"> </w:t>
      </w:r>
      <w:r>
        <w:rPr>
          <w:b/>
          <w:bCs/>
        </w:rPr>
        <w:t xml:space="preserve">regroupés par type</w:t>
      </w:r>
      <w:r>
        <w:t xml:space="preserve"> </w:t>
      </w:r>
      <w:r>
        <w:t xml:space="preserve">avec une icône, le libellé (numéro/nom) et une information complémentaire (montant, statut). Cliquez sur un résultat — ou naviguez avec les flèches</w:t>
      </w:r>
      <w:r>
        <w:t xml:space="preserve"> </w:t>
      </w:r>
      <w:r>
        <w:rPr>
          <w:b/>
          <w:bCs/>
        </w:rPr>
        <w:t xml:space="preserve">↑ / ↓</w:t>
      </w:r>
      <w:r>
        <w:t xml:space="preserve"> </w:t>
      </w:r>
      <w:r>
        <w:t xml:space="preserve">puis</w:t>
      </w:r>
      <w:r>
        <w:t xml:space="preserve"> </w:t>
      </w:r>
      <w:r>
        <w:rPr>
          <w:b/>
          <w:bCs/>
        </w:rPr>
        <w:t xml:space="preserve">Entrée</w:t>
      </w:r>
      <w:r>
        <w:t xml:space="preserve"> </w:t>
      </w:r>
      <w:r>
        <w:t xml:space="preserve">— pour ouvrir directement le document correspondant ou la fiche du client/article.</w:t>
      </w:r>
      <w:r>
        <w:t xml:space="preserve"> </w:t>
      </w:r>
      <w:r>
        <w:rPr>
          <w:b/>
          <w:bCs/>
        </w:rPr>
        <w:t xml:space="preserve">Échap</w:t>
      </w:r>
      <w:r>
        <w:t xml:space="preserve"> </w:t>
      </w:r>
      <w:r>
        <w:t xml:space="preserve">ou un clic en dehors referme le menu.</w:t>
      </w:r>
    </w:p>
    <w:p>
      <w:r>
        <w:pict>
          <v:rect style="width:0;height:1.5pt" o:hralign="center" o:hrstd="t" o:hr="t"/>
        </w:pict>
      </w:r>
    </w:p>
    <w:bookmarkEnd w:id="33"/>
    <w:bookmarkEnd w:id="34"/>
    <w:bookmarkStart w:id="49"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6" name="Picture"/>
            <a:graphic>
              <a:graphicData uri="http://schemas.openxmlformats.org/drawingml/2006/picture">
                <pic:pic>
                  <pic:nvPicPr>
                    <pic:cNvPr descr="screenshots/13-parametres.png" id="37" name="Picture"/>
                    <pic:cNvPicPr>
                      <a:picLocks noChangeArrowheads="1" noChangeAspect="1"/>
                    </pic:cNvPicPr>
                  </pic:nvPicPr>
                  <pic:blipFill>
                    <a:blip r:embed="rId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8"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8"/>
    <w:bookmarkStart w:id="39"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9"/>
    <w:bookmarkStart w:id="40"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40"/>
    <w:bookmarkStart w:id="41"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1"/>
    <w:bookmarkStart w:id="42"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4"/>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4"/>
        </w:numPr>
      </w:pPr>
      <w:r>
        <w:rPr>
          <w:b/>
          <w:bCs/>
        </w:rPr>
        <w:t xml:space="preserve">CGV</w:t>
      </w:r>
      <w:r>
        <w:t xml:space="preserve"> </w:t>
      </w:r>
      <w:r>
        <w:t xml:space="preserve">(texte long) : vos conditions générales de vente complètes</w:t>
      </w:r>
    </w:p>
    <w:bookmarkEnd w:id="42"/>
    <w:bookmarkStart w:id="46"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4" name="Picture"/>
            <a:graphic>
              <a:graphicData uri="http://schemas.openxmlformats.org/drawingml/2006/picture">
                <pic:pic>
                  <pic:nvPicPr>
                    <pic:cNvPr descr="screenshots/14-parametres-mentions-legales.png" id="45" name="Picture"/>
                    <pic:cNvPicPr>
                      <a:picLocks noChangeArrowheads="1" noChangeAspect="1"/>
                    </pic:cNvPicPr>
                  </pic:nvPicPr>
                  <pic:blipFill>
                    <a:blip r:embed="rId4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6"/>
    <w:bookmarkStart w:id="47"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t xml:space="preserve">Les relances s’appuient sur le SMTP configuré. Sans SMTP, elles sont envoyées via Ethereal (test uniquement). Le compteur de relances est incrémenté et la date de dernière relance est enregistrée sur chaque facture.</w:t>
      </w:r>
    </w:p>
    <w:bookmarkEnd w:id="47"/>
    <w:bookmarkStart w:id="48" w:name="notifications-avant-échéance"/>
    <w:p>
      <w:pPr>
        <w:pStyle w:val="Heading2"/>
      </w:pPr>
      <w:r>
        <w:t xml:space="preserve">Notifications avant échéance</w:t>
      </w:r>
    </w:p>
    <w:p>
      <w:pPr>
        <w:pStyle w:val="FirstParagraph"/>
      </w:pPr>
      <w:r>
        <w:t xml:space="preserve">En plus des relances après retard, FacturPro peut envoyer un</w:t>
      </w:r>
      <w:r>
        <w:t xml:space="preserve"> </w:t>
      </w:r>
      <w:r>
        <w:rPr>
          <w:b/>
          <w:bCs/>
        </w:rPr>
        <w:t xml:space="preserve">email de rappel avant l’échéance</w:t>
      </w:r>
      <w:r>
        <w:t xml:space="preserve"> </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 les notifications</w:t>
            </w:r>
          </w:p>
        </w:tc>
        <w:tc>
          <w:tcPr/>
          <w:p>
            <w:pPr>
              <w:pStyle w:val="Compact"/>
            </w:pPr>
            <w:r>
              <w:t xml:space="preserve">Cocher pour activer</w:t>
            </w:r>
          </w:p>
        </w:tc>
      </w:tr>
      <w:tr>
        <w:tc>
          <w:tcPr/>
          <w:p>
            <w:pPr>
              <w:pStyle w:val="Compact"/>
            </w:pPr>
            <w:r>
              <w:t xml:space="preserve">Jours avant échéance</w:t>
            </w:r>
          </w:p>
        </w:tc>
        <w:tc>
          <w:tcPr/>
          <w:p>
            <w:pPr>
              <w:pStyle w:val="Compact"/>
            </w:pPr>
            <w:r>
              <w:t xml:space="preserve">Ex.</w:t>
            </w:r>
            <w:r>
              <w:t xml:space="preserve"> </w:t>
            </w:r>
            <w:r>
              <w:rPr>
                <w:rStyle w:val="VerbatimChar"/>
              </w:rPr>
              <w:t xml:space="preserve">3</w:t>
            </w:r>
            <w:r>
              <w:t xml:space="preserve"> </w:t>
            </w:r>
            <w:r>
              <w:t xml:space="preserve">— l’email est envoyé 3 jours avant la date d’échéance</w:t>
            </w:r>
          </w:p>
        </w:tc>
      </w:tr>
    </w:tbl>
    <w:p>
      <w:pPr>
        <w:pStyle w:val="BodyText"/>
      </w:pPr>
      <w:r>
        <w:t xml:space="preserve">Le rappel est envoyé</w:t>
      </w:r>
      <w:r>
        <w:t xml:space="preserve"> </w:t>
      </w:r>
      <w:r>
        <w:rPr>
          <w:b/>
          <w:bCs/>
        </w:rPr>
        <w:t xml:space="preserve">au plus une fois par facture</w:t>
      </w:r>
      <w:r>
        <w:t xml:space="preserve">. Si la facture est payée avant l’envoi, aucun email n’est émis.</w:t>
      </w:r>
    </w:p>
    <w:p>
      <w:r>
        <w:pict>
          <v:rect style="width:0;height:1.5pt" o:hralign="center" o:hrstd="t" o:hr="t"/>
        </w:pict>
      </w:r>
    </w:p>
    <w:bookmarkEnd w:id="48"/>
    <w:bookmarkEnd w:id="49"/>
    <w:bookmarkStart w:id="70" w:name="gestion-des-clients"/>
    <w:p>
      <w:pPr>
        <w:pStyle w:val="Heading1"/>
      </w:pPr>
      <w:r>
        <w:t xml:space="preserve">Gestion des clients</w:t>
      </w:r>
    </w:p>
    <w:bookmarkStart w:id="53" w:name="liste-des-clients"/>
    <w:p>
      <w:pPr>
        <w:pStyle w:val="Heading2"/>
      </w:pPr>
      <w:r>
        <w:t xml:space="preserve">Liste des clients</w:t>
      </w:r>
    </w:p>
    <w:p>
      <w:pPr>
        <w:pStyle w:val="CaptionedFigure"/>
      </w:pPr>
      <w:r>
        <w:drawing>
          <wp:inline>
            <wp:extent cx="5334000" cy="2637413"/>
            <wp:effectExtent b="0" l="0" r="0" t="0"/>
            <wp:docPr descr="Liste des clients" title="" id="51" name="Picture"/>
            <a:graphic>
              <a:graphicData uri="http://schemas.openxmlformats.org/drawingml/2006/picture">
                <pic:pic>
                  <pic:nvPicPr>
                    <pic:cNvPr descr="screenshots/04-clients-liste.png" id="52" name="Picture"/>
                    <pic:cNvPicPr>
                      <a:picLocks noChangeArrowheads="1" noChangeAspect="1"/>
                    </pic:cNvPicPr>
                  </pic:nvPicPr>
                  <pic:blipFill>
                    <a:blip r:embed="rId5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p>
      <w:r>
        <w:pict>
          <v:rect style="width:0;height:1.5pt" o:hralign="center" o:hrstd="t" o:hr="t"/>
        </w:pict>
      </w:r>
    </w:p>
    <w:bookmarkEnd w:id="53"/>
    <w:bookmarkStart w:id="57" w:name="fiche-client-mouvements-et-kpis"/>
    <w:p>
      <w:pPr>
        <w:pStyle w:val="Heading2"/>
      </w:pPr>
      <w:r>
        <w:t xml:space="preserve">Fiche client — mouvements et KPIs</w:t>
      </w:r>
    </w:p>
    <w:p>
      <w:pPr>
        <w:pStyle w:val="FirstParagraph"/>
      </w:pPr>
      <w:r>
        <w:t xml:space="preserve">Cliquez sur le</w:t>
      </w:r>
      <w:r>
        <w:t xml:space="preserve"> </w:t>
      </w:r>
      <w:r>
        <w:rPr>
          <w:b/>
          <w:bCs/>
        </w:rPr>
        <w:t xml:space="preserve">nom du client</w:t>
      </w:r>
      <w:r>
        <w:t xml:space="preserve"> </w:t>
      </w:r>
      <w:r>
        <w:t xml:space="preserve">ou sur le bouton</w:t>
      </w:r>
      <w:r>
        <w:t xml:space="preserve"> </w:t>
      </w:r>
      <w:r>
        <w:rPr>
          <w:b/>
          <w:bCs/>
        </w:rPr>
        <w:t xml:space="preserve">Fiche</w:t>
      </w:r>
      <w:r>
        <w:t xml:space="preserve"> </w:t>
      </w:r>
      <w:r>
        <w:t xml:space="preserve">pour ouvrir un tableau de bord dédié à ce client.</w:t>
      </w:r>
    </w:p>
    <w:bookmarkStart w:id="54" w:name="ouvrir-la-fiche"/>
    <w:p>
      <w:pPr>
        <w:pStyle w:val="Heading3"/>
      </w:pPr>
      <w:r>
        <w:t xml:space="preserve">Ouvrir la fiche</w:t>
      </w:r>
    </w:p>
    <w:p>
      <w:pPr>
        <w:pStyle w:val="Compact"/>
        <w:numPr>
          <w:ilvl w:val="0"/>
          <w:numId w:val="1005"/>
        </w:numPr>
      </w:pPr>
      <w:r>
        <w:rPr>
          <w:b/>
          <w:bCs/>
        </w:rPr>
        <w:t xml:space="preserve">Clic sur le nom</w:t>
      </w:r>
      <w:r>
        <w:t xml:space="preserve"> </w:t>
      </w:r>
      <w:r>
        <w:t xml:space="preserve">(affiché en bleu dans la liste)</w:t>
      </w:r>
    </w:p>
    <w:p>
      <w:pPr>
        <w:pStyle w:val="Compact"/>
        <w:numPr>
          <w:ilvl w:val="0"/>
          <w:numId w:val="1005"/>
        </w:numPr>
      </w:pPr>
      <w:r>
        <w:rPr>
          <w:b/>
          <w:bCs/>
        </w:rPr>
        <w:t xml:space="preserve">Bouton Fiche</w:t>
      </w:r>
      <w:r>
        <w:t xml:space="preserve"> </w:t>
      </w:r>
      <w:r>
        <w:t xml:space="preserve">sur la ligne du client</w:t>
      </w:r>
    </w:p>
    <w:bookmarkEnd w:id="54"/>
    <w:bookmarkStart w:id="55" w:name="kpis-par-période"/>
    <w:p>
      <w:pPr>
        <w:pStyle w:val="Heading3"/>
      </w:pPr>
      <w:r>
        <w:t xml:space="preserve">KPIs par période</w:t>
      </w:r>
    </w:p>
    <w:p>
      <w:pPr>
        <w:pStyle w:val="FirstParagraph"/>
      </w:pPr>
      <w:r>
        <w:t xml:space="preserve">Trois onglets permettent de basculer instantanément entre les périodes sans rechargement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Onglet</w:t>
            </w:r>
          </w:p>
        </w:tc>
        <w:tc>
          <w:tcPr/>
          <w:p>
            <w:pPr>
              <w:pStyle w:val="Compact"/>
            </w:pPr>
            <w:r>
              <w:t xml:space="preserve">Périmètre</w:t>
            </w:r>
          </w:p>
        </w:tc>
      </w:tr>
      <w:tr>
        <w:tc>
          <w:tcPr/>
          <w:p>
            <w:pPr>
              <w:pStyle w:val="Compact"/>
            </w:pPr>
            <w:r>
              <w:t xml:space="preserve">Année N</w:t>
            </w:r>
          </w:p>
        </w:tc>
        <w:tc>
          <w:tcPr/>
          <w:p>
            <w:pPr>
              <w:pStyle w:val="Compact"/>
            </w:pPr>
            <w:r>
              <w:t xml:space="preserve">Exercice en cours (ex. 2026)</w:t>
            </w:r>
          </w:p>
        </w:tc>
      </w:tr>
      <w:tr>
        <w:tc>
          <w:tcPr/>
          <w:p>
            <w:pPr>
              <w:pStyle w:val="Compact"/>
            </w:pPr>
            <w:r>
              <w:t xml:space="preserve">Année N-1</w:t>
            </w:r>
          </w:p>
        </w:tc>
        <w:tc>
          <w:tcPr/>
          <w:p>
            <w:pPr>
              <w:pStyle w:val="Compact"/>
            </w:pPr>
            <w:r>
              <w:t xml:space="preserve">Exercice précédent (ex. 2025)</w:t>
            </w:r>
          </w:p>
        </w:tc>
      </w:tr>
      <w:tr>
        <w:tc>
          <w:tcPr/>
          <w:p>
            <w:pPr>
              <w:pStyle w:val="Compact"/>
            </w:pPr>
            <w:r>
              <w:t xml:space="preserve">Tout</w:t>
            </w:r>
          </w:p>
        </w:tc>
        <w:tc>
          <w:tcPr/>
          <w:p>
            <w:pPr>
              <w:pStyle w:val="Compact"/>
            </w:pPr>
            <w:r>
              <w:t xml:space="preserve">Depuis la création du compte client</w:t>
            </w:r>
          </w:p>
        </w:tc>
      </w:tr>
    </w:tbl>
    <w:p>
      <w:pPr>
        <w:pStyle w:val="BodyText"/>
      </w:pPr>
      <w:r>
        <w:t xml:space="preserve">Pour chaque période, quatre indicateurs sont affichés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Définition</w:t>
            </w:r>
          </w:p>
        </w:tc>
      </w:tr>
      <w:tr>
        <w:tc>
          <w:tcPr/>
          <w:p>
            <w:pPr>
              <w:pStyle w:val="Compact"/>
            </w:pPr>
            <w:r>
              <w:t xml:space="preserve">CA HT</w:t>
            </w:r>
          </w:p>
        </w:tc>
        <w:tc>
          <w:tcPr/>
          <w:p>
            <w:pPr>
              <w:pStyle w:val="Compact"/>
            </w:pPr>
            <w:r>
              <w:t xml:space="preserve">Montant HT des factures émises et payées (avoirs exclus)</w:t>
            </w:r>
          </w:p>
        </w:tc>
      </w:tr>
      <w:tr>
        <w:tc>
          <w:tcPr/>
          <w:p>
            <w:pPr>
              <w:pStyle w:val="Compact"/>
            </w:pPr>
            <w:r>
              <w:t xml:space="preserve">Avoirs HT</w:t>
            </w:r>
          </w:p>
        </w:tc>
        <w:tc>
          <w:tcPr/>
          <w:p>
            <w:pPr>
              <w:pStyle w:val="Compact"/>
            </w:pPr>
            <w:r>
              <w:t xml:space="preserve">Montant HT des avoirs émis</w:t>
            </w:r>
          </w:p>
        </w:tc>
      </w:tr>
      <w:tr>
        <w:tc>
          <w:tcPr/>
          <w:p>
            <w:pPr>
              <w:pStyle w:val="Compact"/>
            </w:pPr>
            <w:r>
              <w:t xml:space="preserve">CA Net HT</w:t>
            </w:r>
          </w:p>
        </w:tc>
        <w:tc>
          <w:tcPr/>
          <w:p>
            <w:pPr>
              <w:pStyle w:val="Compact"/>
            </w:pPr>
            <w:r>
              <w:t xml:space="preserve">CA HT − Avoirs HT</w:t>
            </w:r>
          </w:p>
        </w:tc>
      </w:tr>
      <w:tr>
        <w:tc>
          <w:tcPr/>
          <w:p>
            <w:pPr>
              <w:pStyle w:val="Compact"/>
            </w:pPr>
            <w:r>
              <w:t xml:space="preserve">Encours TTC</w:t>
            </w:r>
          </w:p>
        </w:tc>
        <w:tc>
          <w:tcPr/>
          <w:p>
            <w:pPr>
              <w:pStyle w:val="Compact"/>
            </w:pPr>
            <w:r>
              <w:t xml:space="preserve">Factures émises non encore payées</w:t>
            </w:r>
          </w:p>
        </w:tc>
      </w:tr>
      <w:tr>
        <w:tc>
          <w:tcPr/>
          <w:p>
            <w:pPr>
              <w:pStyle w:val="Compact"/>
            </w:pPr>
            <w:r>
              <w:t xml:space="preserve">En retard TTC</w:t>
            </w:r>
          </w:p>
        </w:tc>
        <w:tc>
          <w:tcPr/>
          <w:p>
            <w:pPr>
              <w:pStyle w:val="Compact"/>
            </w:pPr>
            <w:r>
              <w:t xml:space="preserve">Encours dont la date d’échéance est dépassée</w:t>
            </w:r>
          </w:p>
        </w:tc>
      </w:tr>
    </w:tbl>
    <w:bookmarkEnd w:id="55"/>
    <w:bookmarkStart w:id="56" w:name="tableau-des-documents"/>
    <w:p>
      <w:pPr>
        <w:pStyle w:val="Heading3"/>
      </w:pPr>
      <w:r>
        <w:t xml:space="preserve">Tableau des documents</w:t>
      </w:r>
    </w:p>
    <w:p>
      <w:pPr>
        <w:pStyle w:val="FirstParagraph"/>
      </w:pPr>
      <w:r>
        <w:t xml:space="preserve">La fiche liste l’ensemble des devis, factures, acomptes et bons de livraison du client, triés par date décroissante. Cliquer sur une ligne ouvre directement le document.</w:t>
      </w:r>
    </w:p>
    <w:p>
      <w:r>
        <w:pict>
          <v:rect style="width:0;height:1.5pt" o:hralign="center" o:hrstd="t" o:hr="t"/>
        </w:pict>
      </w:r>
    </w:p>
    <w:bookmarkEnd w:id="56"/>
    <w:bookmarkEnd w:id="57"/>
    <w:bookmarkStart w:id="62"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6"/>
        </w:numPr>
      </w:pPr>
      <w:r>
        <w:rPr>
          <w:b/>
          <w:bCs/>
        </w:rPr>
        <w:t xml:space="preserve">Professionnel</w:t>
      </w:r>
      <w:r>
        <w:t xml:space="preserve"> </w:t>
      </w:r>
      <w:r>
        <w:t xml:space="preserve">— raison sociale, SIRET, TVA intracom.</w:t>
      </w:r>
    </w:p>
    <w:p>
      <w:pPr>
        <w:pStyle w:val="Compact"/>
        <w:numPr>
          <w:ilvl w:val="0"/>
          <w:numId w:val="1006"/>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8"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8"/>
    <w:bookmarkStart w:id="59"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9"/>
    <w:bookmarkStart w:id="60"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60"/>
    <w:bookmarkStart w:id="61"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61"/>
    <w:bookmarkEnd w:id="62"/>
    <w:bookmarkStart w:id="68"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63"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63"/>
    <w:bookmarkStart w:id="64"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64"/>
    <w:bookmarkStart w:id="65"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65"/>
    <w:bookmarkStart w:id="66" w:name="déroulement-de-limport"/>
    <w:p>
      <w:pPr>
        <w:pStyle w:val="Heading3"/>
      </w:pPr>
      <w:r>
        <w:t xml:space="preserve">Déroulement de l’import</w:t>
      </w:r>
    </w:p>
    <w:p>
      <w:pPr>
        <w:pStyle w:val="Compact"/>
        <w:numPr>
          <w:ilvl w:val="0"/>
          <w:numId w:val="1007"/>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7"/>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7"/>
        </w:numPr>
      </w:pPr>
      <w:r>
        <w:t xml:space="preserve">Sélectionnez votre fichier.</w:t>
      </w:r>
    </w:p>
    <w:p>
      <w:pPr>
        <w:pStyle w:val="Compact"/>
        <w:numPr>
          <w:ilvl w:val="0"/>
          <w:numId w:val="1007"/>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6"/>
    <w:bookmarkStart w:id="67"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7"/>
    <w:bookmarkEnd w:id="68"/>
    <w:bookmarkStart w:id="69"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9"/>
    <w:bookmarkEnd w:id="70"/>
    <w:bookmarkStart w:id="87" w:name="catalogue-darticles"/>
    <w:p>
      <w:pPr>
        <w:pStyle w:val="Heading1"/>
      </w:pPr>
      <w:r>
        <w:t xml:space="preserve">Catalogue d’articles</w:t>
      </w:r>
    </w:p>
    <w:p>
      <w:pPr>
        <w:pStyle w:val="CaptionedFigure"/>
      </w:pPr>
      <w:r>
        <w:drawing>
          <wp:inline>
            <wp:extent cx="5334000" cy="2637413"/>
            <wp:effectExtent b="0" l="0" r="0" t="0"/>
            <wp:docPr descr="Liste des articles" title="" id="72" name="Picture"/>
            <a:graphic>
              <a:graphicData uri="http://schemas.openxmlformats.org/drawingml/2006/picture">
                <pic:pic>
                  <pic:nvPicPr>
                    <pic:cNvPr descr="screenshots/05-articles-liste.png" id="73" name="Picture"/>
                    <pic:cNvPicPr>
                      <a:picLocks noChangeArrowheads="1" noChangeAspect="1"/>
                    </pic:cNvPicPr>
                  </pic:nvPicPr>
                  <pic:blipFill>
                    <a:blip r:embed="rId7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76" w:name="rechercher-et-trier"/>
    <w:p>
      <w:pPr>
        <w:pStyle w:val="Heading2"/>
      </w:pPr>
      <w:r>
        <w:t xml:space="preserve">Rechercher et trier</w:t>
      </w:r>
    </w:p>
    <w:bookmarkStart w:id="74" w:name="barre-de-recherche"/>
    <w:p>
      <w:pPr>
        <w:pStyle w:val="Heading3"/>
      </w:pPr>
      <w:r>
        <w:t xml:space="preserve">Barre de recherche</w:t>
      </w:r>
    </w:p>
    <w:p>
      <w:pPr>
        <w:pStyle w:val="FirstParagraph"/>
      </w:pPr>
      <w:r>
        <w:t xml:space="preserve">En haut de la liste, un champ de recherche filtre instantanément les articles sur leur</w:t>
      </w:r>
      <w:r>
        <w:t xml:space="preserve"> </w:t>
      </w:r>
      <w:r>
        <w:rPr>
          <w:b/>
          <w:bCs/>
        </w:rPr>
        <w:t xml:space="preserve">référence</w:t>
      </w:r>
      <w:r>
        <w:t xml:space="preserve">, leur</w:t>
      </w:r>
      <w:r>
        <w:t xml:space="preserve"> </w:t>
      </w:r>
      <w:r>
        <w:rPr>
          <w:b/>
          <w:bCs/>
        </w:rPr>
        <w:t xml:space="preserve">désignation</w:t>
      </w:r>
      <w:r>
        <w:t xml:space="preserve"> </w:t>
      </w:r>
      <w:r>
        <w:t xml:space="preserve">ou leur</w:t>
      </w:r>
      <w:r>
        <w:t xml:space="preserve"> </w:t>
      </w:r>
      <w:r>
        <w:rPr>
          <w:b/>
          <w:bCs/>
        </w:rPr>
        <w:t xml:space="preserve">description</w:t>
      </w:r>
      <w:r>
        <w:t xml:space="preserve">. Le filtrage est côté client — aucun rechargement réseau.</w:t>
      </w:r>
    </w:p>
    <w:bookmarkEnd w:id="74"/>
    <w:bookmarkStart w:id="75" w:name="tri-par-colonne"/>
    <w:p>
      <w:pPr>
        <w:pStyle w:val="Heading3"/>
      </w:pPr>
      <w:r>
        <w:t xml:space="preserve">Tri par colonne</w:t>
      </w:r>
    </w:p>
    <w:p>
      <w:pPr>
        <w:pStyle w:val="FirstParagraph"/>
      </w:pPr>
      <w:r>
        <w:t xml:space="preserve">Cliquez sur n’importe quel en-tête de colonne pour trier la liste (▲ = croissant, ▼ = décroissant). Second clic : inverse le sens. Colonnes triables : Réf., Désignation, Unité, Prix vente HT, Prix achat HT, Marge, TVA, Stock.</w:t>
      </w:r>
    </w:p>
    <w:p>
      <w:r>
        <w:pict>
          <v:rect style="width:0;height:1.5pt" o:hralign="center" o:hrstd="t" o:hr="t"/>
        </w:pict>
      </w:r>
    </w:p>
    <w:bookmarkEnd w:id="75"/>
    <w:bookmarkEnd w:id="76"/>
    <w:bookmarkStart w:id="77" w:name="fiche-article"/>
    <w:p>
      <w:pPr>
        <w:pStyle w:val="Heading2"/>
      </w:pPr>
      <w:r>
        <w:t xml:space="preserve">Fiche article</w:t>
      </w:r>
    </w:p>
    <w:p>
      <w:pPr>
        <w:pStyle w:val="FirstParagraph"/>
      </w:pPr>
      <w:r>
        <w:t xml:space="preserve">Cliquez sur le</w:t>
      </w:r>
      <w:r>
        <w:t xml:space="preserve"> </w:t>
      </w:r>
      <w:r>
        <w:rPr>
          <w:b/>
          <w:bCs/>
        </w:rPr>
        <w:t xml:space="preserve">nom d’un article</w:t>
      </w:r>
      <w:r>
        <w:t xml:space="preserve"> </w:t>
      </w:r>
      <w:r>
        <w:t xml:space="preserve">ou sur le bouton</w:t>
      </w:r>
      <w:r>
        <w:t xml:space="preserve"> </w:t>
      </w:r>
      <w:r>
        <w:rPr>
          <w:b/>
          <w:bCs/>
        </w:rPr>
        <w:t xml:space="preserve">Fiche</w:t>
      </w:r>
      <w:r>
        <w:t xml:space="preserve"> </w:t>
      </w:r>
      <w:r>
        <w:t xml:space="preserve">pour ouvrir un modal récapitulatif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w:t>
            </w:r>
          </w:p>
        </w:tc>
        <w:tc>
          <w:tcPr/>
          <w:p>
            <w:pPr>
              <w:pStyle w:val="Compact"/>
            </w:pPr>
            <w:r>
              <w:t xml:space="preserve">Contenu</w:t>
            </w:r>
          </w:p>
        </w:tc>
      </w:tr>
      <w:tr>
        <w:tc>
          <w:tcPr/>
          <w:p>
            <w:pPr>
              <w:pStyle w:val="Compact"/>
            </w:pPr>
            <w:r>
              <w:t xml:space="preserve">KPIs</w:t>
            </w:r>
          </w:p>
        </w:tc>
        <w:tc>
          <w:tcPr/>
          <w:p>
            <w:pPr>
              <w:pStyle w:val="Compact"/>
            </w:pPr>
            <w:r>
              <w:t xml:space="preserve">Nombre de devis, nombre de factures émises/payées, quantité vendue totale, CA HT généré</w:t>
            </w:r>
          </w:p>
        </w:tc>
      </w:tr>
      <w:tr>
        <w:tc>
          <w:tcPr/>
          <w:p>
            <w:pPr>
              <w:pStyle w:val="Compact"/>
            </w:pPr>
            <w:r>
              <w:t xml:space="preserve">Infos tarifaires</w:t>
            </w:r>
          </w:p>
        </w:tc>
        <w:tc>
          <w:tcPr/>
          <w:p>
            <w:pPr>
              <w:pStyle w:val="Compact"/>
            </w:pPr>
            <w:r>
              <w:t xml:space="preserve">Prix vente, prix achat, marge brute, taux de marque, taux de marge, TVA, stock</w:t>
            </w:r>
          </w:p>
        </w:tc>
      </w:tr>
      <w:tr>
        <w:tc>
          <w:tcPr/>
          <w:p>
            <w:pPr>
              <w:pStyle w:val="Compact"/>
            </w:pPr>
            <w:r>
              <w:t xml:space="preserve">Dernière utilisation</w:t>
            </w:r>
          </w:p>
        </w:tc>
        <w:tc>
          <w:tcPr/>
          <w:p>
            <w:pPr>
              <w:pStyle w:val="Compact"/>
            </w:pPr>
            <w:r>
              <w:t xml:space="preserve">Date du document le plus récent utilisant cet article</w:t>
            </w:r>
          </w:p>
        </w:tc>
      </w:tr>
      <w:tr>
        <w:tc>
          <w:tcPr/>
          <w:p>
            <w:pPr>
              <w:pStyle w:val="Compact"/>
            </w:pPr>
            <w:r>
              <w:t xml:space="preserve">Documents récents</w:t>
            </w:r>
          </w:p>
        </w:tc>
        <w:tc>
          <w:tcPr/>
          <w:p>
            <w:pPr>
              <w:pStyle w:val="Compact"/>
            </w:pPr>
            <w:r>
              <w:t xml:space="preserve">Tableau des 20 derniers devis et factures, avec lien direct vers chacun</w:t>
            </w:r>
          </w:p>
        </w:tc>
      </w:tr>
    </w:tbl>
    <w:p>
      <w:pPr>
        <w:pStyle w:val="BlockText"/>
      </w:pPr>
      <w:r>
        <w:t xml:space="preserve">Les statistiques ne comptent que les factures de type</w:t>
      </w:r>
      <w:r>
        <w:t xml:space="preserve"> </w:t>
      </w:r>
      <w:r>
        <w:rPr>
          <w:b/>
          <w:bCs/>
        </w:rPr>
        <w:t xml:space="preserve">emise</w:t>
      </w:r>
      <w:r>
        <w:t xml:space="preserve"> </w:t>
      </w:r>
      <w:r>
        <w:t xml:space="preserve">ou</w:t>
      </w:r>
      <w:r>
        <w:t xml:space="preserve"> </w:t>
      </w:r>
      <w:r>
        <w:rPr>
          <w:b/>
          <w:bCs/>
        </w:rPr>
        <w:t xml:space="preserve">payee</w:t>
      </w:r>
      <w:r>
        <w:t xml:space="preserve"> </w:t>
      </w:r>
      <w:r>
        <w:t xml:space="preserve">(avoirs exclus). Cliquer sur une ligne du tableau ouvre directement l’éditeur du document.</w:t>
      </w:r>
    </w:p>
    <w:p>
      <w:r>
        <w:pict>
          <v:rect style="width:0;height:1.5pt" o:hralign="center" o:hrstd="t" o:hr="t"/>
        </w:pict>
      </w:r>
    </w:p>
    <w:bookmarkEnd w:id="77"/>
    <w:bookmarkStart w:id="7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7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78"/>
    <w:bookmarkEnd w:id="79"/>
    <w:bookmarkStart w:id="85" w:name="import-csv-articles"/>
    <w:p>
      <w:pPr>
        <w:pStyle w:val="Heading2"/>
      </w:pPr>
      <w:r>
        <w:t xml:space="preserve">Import CSV articles</w:t>
      </w:r>
    </w:p>
    <w:p>
      <w:pPr>
        <w:pStyle w:val="FirstParagraph"/>
      </w:pPr>
      <w:r>
        <w:t xml:space="preserve">Importez votre catalogue en une seule opération depuis un fichier CSV.</w:t>
      </w:r>
    </w:p>
    <w:bookmarkStart w:id="80" w:name="accès-1"/>
    <w:p>
      <w:pPr>
        <w:pStyle w:val="Heading3"/>
      </w:pPr>
      <w:r>
        <w:t xml:space="preserve">Accès</w:t>
      </w:r>
    </w:p>
    <w:p>
      <w:pPr>
        <w:pStyle w:val="FirstParagraph"/>
      </w:pPr>
      <w:r>
        <w:rPr>
          <w:b/>
          <w:bCs/>
        </w:rPr>
        <w:t xml:space="preserve">Articles &gt; Importer CSV</w:t>
      </w:r>
      <w:r>
        <w:t xml:space="preserve">.</w:t>
      </w:r>
    </w:p>
    <w:bookmarkEnd w:id="80"/>
    <w:bookmarkStart w:id="8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81"/>
    <w:bookmarkStart w:id="8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82"/>
    <w:bookmarkStart w:id="83" w:name="comportement"/>
    <w:p>
      <w:pPr>
        <w:pStyle w:val="Heading3"/>
      </w:pPr>
      <w:r>
        <w:t xml:space="preserve">Comportement</w:t>
      </w:r>
    </w:p>
    <w:p>
      <w:pPr>
        <w:pStyle w:val="Compact"/>
        <w:numPr>
          <w:ilvl w:val="0"/>
          <w:numId w:val="1008"/>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8"/>
        </w:numPr>
      </w:pPr>
      <w:r>
        <w:t xml:space="preserve">Le rapport d’import indique le nombre d’articles créés et les lignes ignorées.</w:t>
      </w:r>
    </w:p>
    <w:p>
      <w:pPr>
        <w:pStyle w:val="Compact"/>
        <w:numPr>
          <w:ilvl w:val="0"/>
          <w:numId w:val="1008"/>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83"/>
    <w:bookmarkStart w:id="8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84"/>
    <w:bookmarkEnd w:id="85"/>
    <w:bookmarkStart w:id="8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86"/>
    <w:bookmarkEnd w:id="87"/>
    <w:bookmarkStart w:id="106"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 — côté ventes (devis, factures, avoirs, bons de livraison) comme côté achats (bons de commande et factures d’achats, voir le chapitre</w:t>
      </w:r>
      <w:r>
        <w:t xml:space="preserve"> </w:t>
      </w:r>
      <w:r>
        <w:rPr>
          <w:i/>
          <w:iCs/>
        </w:rPr>
        <w:t xml:space="preserve">Achats</w:t>
      </w:r>
      <w:r>
        <w:t xml:space="preserve">).</w:t>
      </w:r>
    </w:p>
    <w:bookmarkStart w:id="91" w:name="devis"/>
    <w:p>
      <w:pPr>
        <w:pStyle w:val="Heading2"/>
      </w:pPr>
      <w:r>
        <w:t xml:space="preserve">Devis</w:t>
      </w:r>
    </w:p>
    <w:p>
      <w:pPr>
        <w:pStyle w:val="CaptionedFigure"/>
      </w:pPr>
      <w:r>
        <w:drawing>
          <wp:inline>
            <wp:extent cx="5334000" cy="2637413"/>
            <wp:effectExtent b="0" l="0" r="0" t="0"/>
            <wp:docPr descr="Éditeur de devis" title="" id="89" name="Picture"/>
            <a:graphic>
              <a:graphicData uri="http://schemas.openxmlformats.org/drawingml/2006/picture">
                <pic:pic>
                  <pic:nvPicPr>
                    <pic:cNvPr descr="screenshots/15-editeur-devis.png" id="90" name="Picture"/>
                    <pic:cNvPicPr>
                      <a:picLocks noChangeArrowheads="1" noChangeAspect="1"/>
                    </pic:cNvPicPr>
                  </pic:nvPicPr>
                  <pic:blipFill>
                    <a:blip r:embed="rId8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91"/>
    <w:bookmarkStart w:id="95" w:name="factures"/>
    <w:p>
      <w:pPr>
        <w:pStyle w:val="Heading2"/>
      </w:pPr>
      <w:r>
        <w:t xml:space="preserve">Factures</w:t>
      </w:r>
    </w:p>
    <w:p>
      <w:pPr>
        <w:pStyle w:val="CaptionedFigure"/>
      </w:pPr>
      <w:r>
        <w:drawing>
          <wp:inline>
            <wp:extent cx="5334000" cy="2637413"/>
            <wp:effectExtent b="0" l="0" r="0" t="0"/>
            <wp:docPr descr="Éditeur de facture" title="" id="93" name="Picture"/>
            <a:graphic>
              <a:graphicData uri="http://schemas.openxmlformats.org/drawingml/2006/picture">
                <pic:pic>
                  <pic:nvPicPr>
                    <pic:cNvPr descr="screenshots/16-editeur-facture.png" id="94" name="Picture"/>
                    <pic:cNvPicPr>
                      <a:picLocks noChangeArrowheads="1" noChangeAspect="1"/>
                    </pic:cNvPicPr>
                  </pic:nvPicPr>
                  <pic:blipFill>
                    <a:blip r:embed="rId9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95"/>
    <w:bookmarkStart w:id="99"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96" w:name="X773deac604e5e4a0f78f51d3900e53763b998b6"/>
    <w:p>
      <w:pPr>
        <w:pStyle w:val="Heading3"/>
      </w:pPr>
      <w:r>
        <w:t xml:space="preserve">Champ Description masqué au survol (v3.2.10)</w:t>
      </w:r>
    </w:p>
    <w:p>
      <w:pPr>
        <w:pStyle w:val="FirstParagraph"/>
      </w:pPr>
      <w:r>
        <w:t xml:space="preserve">Pour alléger l’affichage, le champ</w:t>
      </w:r>
      <w:r>
        <w:t xml:space="preserve"> </w:t>
      </w:r>
      <w:r>
        <w:rPr>
          <w:b/>
          <w:bCs/>
        </w:rPr>
        <w:t xml:space="preserve">Description</w:t>
      </w:r>
      <w:r>
        <w:t xml:space="preserve"> </w:t>
      </w:r>
      <w:r>
        <w:t xml:space="preserve">d’une ligne reste</w:t>
      </w:r>
      <w:r>
        <w:t xml:space="preserve"> </w:t>
      </w:r>
      <w:r>
        <w:rPr>
          <w:b/>
          <w:bCs/>
        </w:rPr>
        <w:t xml:space="preserve">masqué tant qu’il est vide</w:t>
      </w:r>
      <w:r>
        <w:t xml:space="preserve">. Il</w:t>
      </w:r>
      <w:r>
        <w:t xml:space="preserve"> </w:t>
      </w:r>
      <w:r>
        <w:rPr>
          <w:b/>
          <w:bCs/>
        </w:rPr>
        <w:t xml:space="preserve">apparaît au survol de la ligne</w:t>
      </w:r>
      <w:r>
        <w:t xml:space="preserve"> </w:t>
      </w:r>
      <w:r>
        <w:t xml:space="preserve">(ou lors de la saisie), pour permettre de le compléter sans encombrer la vue. Dès qu’une description est saisie, le champ</w:t>
      </w:r>
      <w:r>
        <w:t xml:space="preserve"> </w:t>
      </w:r>
      <w:r>
        <w:rPr>
          <w:b/>
          <w:bCs/>
        </w:rPr>
        <w:t xml:space="preserve">reste affiché en permanence</w:t>
      </w:r>
      <w:r>
        <w:t xml:space="preserve">, même hors survol.</w:t>
      </w:r>
    </w:p>
    <w:bookmarkEnd w:id="96"/>
    <w:bookmarkStart w:id="97"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97"/>
    <w:bookmarkStart w:id="98"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98"/>
    <w:bookmarkEnd w:id="99"/>
    <w:bookmarkStart w:id="100"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100"/>
    <w:bookmarkStart w:id="101"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101"/>
    <w:bookmarkStart w:id="105"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103" name="Picture"/>
            <a:graphic>
              <a:graphicData uri="http://schemas.openxmlformats.org/drawingml/2006/picture">
                <pic:pic>
                  <pic:nvPicPr>
                    <pic:cNvPr descr="screenshots/17-facture-mentions-legales.png" id="104" name="Picture"/>
                    <pic:cNvPicPr>
                      <a:picLocks noChangeArrowheads="1" noChangeAspect="1"/>
                    </pic:cNvPicPr>
                  </pic:nvPicPr>
                  <pic:blipFill>
                    <a:blip r:embed="rId10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105"/>
    <w:bookmarkEnd w:id="106"/>
    <w:bookmarkStart w:id="119" w:name="devis-1"/>
    <w:p>
      <w:pPr>
        <w:pStyle w:val="Heading1"/>
      </w:pPr>
      <w:r>
        <w:t xml:space="preserve">Devis</w:t>
      </w:r>
    </w:p>
    <w:p>
      <w:pPr>
        <w:pStyle w:val="CaptionedFigure"/>
      </w:pPr>
      <w:r>
        <w:drawing>
          <wp:inline>
            <wp:extent cx="5334000" cy="2637413"/>
            <wp:effectExtent b="0" l="0" r="0" t="0"/>
            <wp:docPr descr="Liste des devis" title="" id="108" name="Picture"/>
            <a:graphic>
              <a:graphicData uri="http://schemas.openxmlformats.org/drawingml/2006/picture">
                <pic:pic>
                  <pic:nvPicPr>
                    <pic:cNvPr descr="screenshots/07-devis-liste.png" id="109" name="Picture"/>
                    <pic:cNvPicPr>
                      <a:picLocks noChangeArrowheads="1" noChangeAspect="1"/>
                    </pic:cNvPicPr>
                  </pic:nvPicPr>
                  <pic:blipFill>
                    <a:blip r:embed="rId10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110"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110"/>
    <w:bookmarkStart w:id="111" w:name="créer-un-devis"/>
    <w:p>
      <w:pPr>
        <w:pStyle w:val="Heading2"/>
      </w:pPr>
      <w:r>
        <w:t xml:space="preserve">Créer un devis</w:t>
      </w:r>
    </w:p>
    <w:p>
      <w:pPr>
        <w:pStyle w:val="Compact"/>
        <w:numPr>
          <w:ilvl w:val="0"/>
          <w:numId w:val="1009"/>
        </w:numPr>
      </w:pPr>
      <w:r>
        <w:rPr>
          <w:b/>
          <w:bCs/>
        </w:rPr>
        <w:t xml:space="preserve">Devis &gt; + Nouveau devis</w:t>
      </w:r>
    </w:p>
    <w:p>
      <w:pPr>
        <w:pStyle w:val="Compact"/>
        <w:numPr>
          <w:ilvl w:val="0"/>
          <w:numId w:val="1009"/>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9"/>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9"/>
        </w:numPr>
      </w:pPr>
      <w:r>
        <w:t xml:space="preserve">Ajoutez les lignes (désignation, quantité, prix HT, TVA, remise).</w:t>
      </w:r>
    </w:p>
    <w:p>
      <w:pPr>
        <w:pStyle w:val="Compact"/>
        <w:numPr>
          <w:ilvl w:val="0"/>
          <w:numId w:val="1009"/>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11"/>
    <w:bookmarkStart w:id="112"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10"/>
        </w:numPr>
      </w:pPr>
      <w:r>
        <w:t xml:space="preserve">Passe le statut à</w:t>
      </w:r>
      <w:r>
        <w:t xml:space="preserve"> </w:t>
      </w:r>
      <w:r>
        <w:rPr>
          <w:rStyle w:val="VerbatimChar"/>
        </w:rPr>
        <w:t xml:space="preserve">envoyé</w:t>
      </w:r>
      <w:r>
        <w:t xml:space="preserve">.</w:t>
      </w:r>
    </w:p>
    <w:p>
      <w:pPr>
        <w:pStyle w:val="Compact"/>
        <w:numPr>
          <w:ilvl w:val="0"/>
          <w:numId w:val="1010"/>
        </w:numPr>
      </w:pPr>
      <w:r>
        <w:t xml:space="preserve">Si un email client est renseigné, propose l’envoi par email avec le PDF joint.</w:t>
      </w:r>
    </w:p>
    <w:bookmarkEnd w:id="112"/>
    <w:bookmarkStart w:id="113"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11"/>
        </w:numPr>
      </w:pPr>
      <w:r>
        <w:t xml:space="preserve">Verrouille le devis (statut</w:t>
      </w:r>
      <w:r>
        <w:t xml:space="preserve"> </w:t>
      </w:r>
      <w:r>
        <w:rPr>
          <w:rStyle w:val="VerbatimChar"/>
        </w:rPr>
        <w:t xml:space="preserve">signé</w:t>
      </w:r>
      <w:r>
        <w:t xml:space="preserve">).</w:t>
      </w:r>
    </w:p>
    <w:p>
      <w:pPr>
        <w:pStyle w:val="Compact"/>
        <w:numPr>
          <w:ilvl w:val="0"/>
          <w:numId w:val="1011"/>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11"/>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13"/>
    <w:bookmarkStart w:id="114"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2"/>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2"/>
        </w:numPr>
      </w:pPr>
      <w:r>
        <w:t xml:space="preserve">Le client clique le lien → une page de signature s’ouvre dans son navigateur.</w:t>
      </w:r>
    </w:p>
    <w:p>
      <w:pPr>
        <w:pStyle w:val="Compact"/>
        <w:numPr>
          <w:ilvl w:val="0"/>
          <w:numId w:val="1012"/>
        </w:numPr>
      </w:pPr>
      <w:r>
        <w:t xml:space="preserve">Il confirme → le devis passe automatiquement au statut</w:t>
      </w:r>
      <w:r>
        <w:t xml:space="preserve"> </w:t>
      </w:r>
      <w:r>
        <w:rPr>
          <w:b/>
          <w:bCs/>
        </w:rPr>
        <w:t xml:space="preserve">Accepté</w:t>
      </w:r>
      <w:r>
        <w:t xml:space="preserve">.</w:t>
      </w:r>
    </w:p>
    <w:p>
      <w:pPr>
        <w:pStyle w:val="Compact"/>
        <w:numPr>
          <w:ilvl w:val="0"/>
          <w:numId w:val="1012"/>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14"/>
    <w:bookmarkStart w:id="115"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15"/>
    <w:bookmarkStart w:id="116"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16"/>
    <w:bookmarkStart w:id="117"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17"/>
    <w:bookmarkStart w:id="118"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18"/>
    <w:bookmarkEnd w:id="119"/>
    <w:bookmarkStart w:id="121" w:name="avenants"/>
    <w:p>
      <w:pPr>
        <w:pStyle w:val="Heading1"/>
      </w:pPr>
      <w:r>
        <w:t xml:space="preserve">Avenants</w:t>
      </w:r>
    </w:p>
    <w:p>
      <w:pPr>
        <w:pStyle w:val="FirstParagraph"/>
      </w:pPr>
      <w:r>
        <w:t xml:space="preserve">Un avenant modifie un devis accepté sans altérer l’original.</w:t>
      </w:r>
    </w:p>
    <w:bookmarkStart w:id="120"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20"/>
    <w:bookmarkEnd w:id="121"/>
    <w:bookmarkStart w:id="134" w:name="factures-1"/>
    <w:p>
      <w:pPr>
        <w:pStyle w:val="Heading1"/>
      </w:pPr>
      <w:r>
        <w:t xml:space="preserve">Factures</w:t>
      </w:r>
    </w:p>
    <w:p>
      <w:pPr>
        <w:pStyle w:val="CaptionedFigure"/>
      </w:pPr>
      <w:r>
        <w:drawing>
          <wp:inline>
            <wp:extent cx="5334000" cy="2637413"/>
            <wp:effectExtent b="0" l="0" r="0" t="0"/>
            <wp:docPr descr="Liste des factures" title="" id="123" name="Picture"/>
            <a:graphic>
              <a:graphicData uri="http://schemas.openxmlformats.org/drawingml/2006/picture">
                <pic:pic>
                  <pic:nvPicPr>
                    <pic:cNvPr descr="screenshots/06-factures-liste.png" id="124" name="Picture"/>
                    <pic:cNvPicPr>
                      <a:picLocks noChangeArrowheads="1" noChangeAspect="1"/>
                    </pic:cNvPicPr>
                  </pic:nvPicPr>
                  <pic:blipFill>
                    <a:blip r:embed="rId12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25"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25"/>
    <w:bookmarkStart w:id="127"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26"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26"/>
    <w:bookmarkEnd w:id="127"/>
    <w:bookmarkStart w:id="128"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3"/>
        </w:numPr>
      </w:pPr>
      <w:r>
        <w:t xml:space="preserve">Verrouille la facture (aucune modification possible ensuite).</w:t>
      </w:r>
    </w:p>
    <w:p>
      <w:pPr>
        <w:pStyle w:val="Compact"/>
        <w:numPr>
          <w:ilvl w:val="0"/>
          <w:numId w:val="1013"/>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3"/>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3"/>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3"/>
        </w:numPr>
      </w:pPr>
      <w:r>
        <w:t xml:space="preserve">Archive un snapshot JSON du document (conservation 10 ans).</w:t>
      </w:r>
    </w:p>
    <w:bookmarkEnd w:id="128"/>
    <w:bookmarkStart w:id="130"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4"/>
        </w:numPr>
      </w:pPr>
      <w:r>
        <w:t xml:space="preserve">Écritures de règlement au FEC (journal BQ — Banque)</w:t>
      </w:r>
    </w:p>
    <w:p>
      <w:pPr>
        <w:pStyle w:val="Compact"/>
        <w:numPr>
          <w:ilvl w:val="0"/>
          <w:numId w:val="1014"/>
        </w:numPr>
      </w:pPr>
      <w:r>
        <w:t xml:space="preserve">Lettrage automatique des lignes 411 de l’émission et du règlement</w:t>
      </w:r>
    </w:p>
    <w:bookmarkStart w:id="129" w:name="déduire-un-acompte-lors-du-paiement"/>
    <w:p>
      <w:pPr>
        <w:pStyle w:val="Heading3"/>
      </w:pPr>
      <w:r>
        <w:t xml:space="preserve">Déduire un acompte lors du paiement</w:t>
      </w:r>
    </w:p>
    <w:p>
      <w:pPr>
        <w:pStyle w:val="FirstParagraph"/>
      </w:pPr>
      <w:r>
        <w:t xml:space="preserve">Si un ou plusieurs acomptes ont été encaissés pour ce client, un sélecteur apparaît dans la modale de paiement :</w:t>
      </w:r>
    </w:p>
    <w:p>
      <w:pPr>
        <w:pStyle w:val="Compact"/>
        <w:numPr>
          <w:ilvl w:val="0"/>
          <w:numId w:val="1015"/>
        </w:numPr>
      </w:pPr>
      <w:r>
        <w:t xml:space="preserve">Sélectionnez l’acompte à imputer.</w:t>
      </w:r>
    </w:p>
    <w:p>
      <w:pPr>
        <w:pStyle w:val="Compact"/>
        <w:numPr>
          <w:ilvl w:val="0"/>
          <w:numId w:val="1015"/>
        </w:numPr>
      </w:pPr>
      <w:r>
        <w:t xml:space="preserve">Le</w:t>
      </w:r>
      <w:r>
        <w:t xml:space="preserve"> </w:t>
      </w:r>
      <w:r>
        <w:rPr>
          <w:b/>
          <w:bCs/>
        </w:rPr>
        <w:t xml:space="preserve">solde restant</w:t>
      </w:r>
      <w:r>
        <w:t xml:space="preserve"> </w:t>
      </w:r>
      <w:r>
        <w:t xml:space="preserve">est calculé en temps réel :</w:t>
      </w:r>
      <w:r>
        <w:t xml:space="preserve"> </w:t>
      </w:r>
      <w:r>
        <w:rPr>
          <w:rStyle w:val="VerbatimChar"/>
        </w:rPr>
        <w:t xml:space="preserve">Montant facture − Acompte</w:t>
      </w:r>
      <w:r>
        <w:t xml:space="preserve">.</w:t>
      </w:r>
    </w:p>
    <w:p>
      <w:pPr>
        <w:pStyle w:val="Compact"/>
        <w:numPr>
          <w:ilvl w:val="0"/>
          <w:numId w:val="1015"/>
        </w:numPr>
      </w:pPr>
      <w:r>
        <w:t xml:space="preserve">Cliquez</w:t>
      </w:r>
      <w:r>
        <w:t xml:space="preserve"> </w:t>
      </w:r>
      <w:r>
        <w:rPr>
          <w:b/>
          <w:bCs/>
        </w:rPr>
        <w:t xml:space="preserve">Confirmer</w:t>
      </w:r>
      <w:r>
        <w:t xml:space="preserve">.</w:t>
      </w:r>
    </w:p>
    <w:p>
      <w:pPr>
        <w:pStyle w:val="FirstParagraph"/>
      </w:pPr>
      <w:r>
        <w:rPr>
          <w:b/>
          <w:bCs/>
        </w:rPr>
        <w:t xml:space="preserve">Cas particulier — acompte supérieur à la facture</w:t>
      </w:r>
      <w:r>
        <w:t xml:space="preserve"> </w:t>
      </w:r>
      <w:r>
        <w:t xml:space="preserve">: si l’acompte dépasse le montant de la facture, FacturPro crée automatiquement un</w:t>
      </w:r>
      <w:r>
        <w:t xml:space="preserve"> </w:t>
      </w:r>
      <w:r>
        <w:rPr>
          <w:b/>
          <w:bCs/>
        </w:rPr>
        <w:t xml:space="preserve">acompte reliquat</w:t>
      </w:r>
      <w:r>
        <w:t xml:space="preserve"> </w:t>
      </w:r>
      <w:r>
        <w:t xml:space="preserve">immédiatement encaissé (noté</w:t>
      </w:r>
      <w:r>
        <w:t xml:space="preserve"> </w:t>
      </w:r>
      <w:r>
        <w:rPr>
          <w:rStyle w:val="VerbatimChar"/>
        </w:rPr>
        <w:t xml:space="preserve">Reliquat — AC-XXXX</w:t>
      </w:r>
      <w:r>
        <w:t xml:space="preserve">), représentant le trop-perçu disponible pour une prochaine facture.</w:t>
      </w:r>
    </w:p>
    <w:p>
      <w:pPr>
        <w:pStyle w:val="BodyText"/>
      </w:pPr>
      <w:r>
        <w:t xml:space="preserve">Le PDF de la facture affiche alors deux lignes supplémentaires dans le bloc totaux :</w:t>
      </w:r>
      <w:r>
        <w:t xml:space="preserve"> </w:t>
      </w:r>
      <w:r>
        <w:t xml:space="preserve">-</w:t>
      </w:r>
      <w:r>
        <w:t xml:space="preserve"> </w:t>
      </w:r>
      <w:r>
        <w:rPr>
          <w:i/>
          <w:iCs/>
        </w:rPr>
        <w:t xml:space="preserve">Acompte versé</w:t>
      </w:r>
      <w:r>
        <w:t xml:space="preserve"> </w:t>
      </w:r>
      <w:r>
        <w:t xml:space="preserve">: montant imputé</w:t>
      </w:r>
      <w:r>
        <w:t xml:space="preserve"> </w:t>
      </w:r>
      <w:r>
        <w:t xml:space="preserve">-</w:t>
      </w:r>
      <w:r>
        <w:t xml:space="preserve"> </w:t>
      </w:r>
      <w:r>
        <w:rPr>
          <w:i/>
          <w:iCs/>
        </w:rPr>
        <w:t xml:space="preserve">Solde à payer</w:t>
      </w:r>
      <w:r>
        <w:t xml:space="preserve"> </w:t>
      </w:r>
      <w:r>
        <w:t xml:space="preserve">: montant restant dû (ou 0,00 €)</w:t>
      </w:r>
    </w:p>
    <w:bookmarkEnd w:id="129"/>
    <w:bookmarkEnd w:id="130"/>
    <w:bookmarkStart w:id="131" w:name="envoyer-par-email"/>
    <w:p>
      <w:pPr>
        <w:pStyle w:val="Heading2"/>
      </w:pPr>
      <w:r>
        <w:t xml:space="preserve">Envoyer par email</w:t>
      </w:r>
    </w:p>
    <w:p>
      <w:pPr>
        <w:pStyle w:val="Compact"/>
        <w:numPr>
          <w:ilvl w:val="0"/>
          <w:numId w:val="1016"/>
        </w:numPr>
      </w:pPr>
      <w:r>
        <w:rPr>
          <w:b/>
          <w:bCs/>
        </w:rPr>
        <w:t xml:space="preserve">Envoyer</w:t>
      </w:r>
      <w:r>
        <w:t xml:space="preserve"> </w:t>
      </w:r>
      <w:r>
        <w:t xml:space="preserve">: envoie au email du client en base.</w:t>
      </w:r>
    </w:p>
    <w:p>
      <w:pPr>
        <w:pStyle w:val="Compact"/>
        <w:numPr>
          <w:ilvl w:val="0"/>
          <w:numId w:val="1016"/>
        </w:numPr>
      </w:pPr>
      <w:r>
        <w:rPr>
          <w:b/>
          <w:bCs/>
        </w:rPr>
        <w:t xml:space="preserve">Envoyer à…</w:t>
      </w:r>
      <w:r>
        <w:t xml:space="preserve"> </w:t>
      </w:r>
      <w:r>
        <w:t xml:space="preserve">: saisissez l’adresse manuellement.</w:t>
      </w:r>
    </w:p>
    <w:p>
      <w:pPr>
        <w:pStyle w:val="Compact"/>
        <w:numPr>
          <w:ilvl w:val="0"/>
          <w:numId w:val="1016"/>
        </w:numPr>
      </w:pPr>
      <w:r>
        <w:rPr>
          <w:b/>
          <w:bCs/>
        </w:rPr>
        <w:t xml:space="preserve">Relancer</w:t>
      </w:r>
      <w:r>
        <w:t xml:space="preserve"> </w:t>
      </w:r>
      <w:r>
        <w:t xml:space="preserve">: email de relance avec sujet/corps personnalisables et PDF joint.</w:t>
      </w:r>
    </w:p>
    <w:p>
      <w:pPr>
        <w:pStyle w:val="Compact"/>
        <w:numPr>
          <w:ilvl w:val="0"/>
          <w:numId w:val="1016"/>
        </w:numPr>
      </w:pPr>
      <w:r>
        <w:rPr>
          <w:b/>
          <w:bCs/>
        </w:rPr>
        <w:t xml:space="preserve">Ouvrir dans Outlook</w:t>
      </w:r>
      <w:r>
        <w:t xml:space="preserve"> </w:t>
      </w:r>
      <w:r>
        <w:t xml:space="preserve">(Windows) : ouvre le client mail avec l’email pré-composé via MAPI.</w:t>
      </w:r>
    </w:p>
    <w:p>
      <w:pPr>
        <w:pStyle w:val="Compact"/>
        <w:numPr>
          <w:ilvl w:val="0"/>
          <w:numId w:val="1016"/>
        </w:numPr>
      </w:pPr>
      <w:r>
        <w:rPr>
          <w:b/>
          <w:bCs/>
        </w:rPr>
        <w:t xml:space="preserve">Télécharger .eml</w:t>
      </w:r>
      <w:r>
        <w:t xml:space="preserve"> </w:t>
      </w:r>
      <w:r>
        <w:t xml:space="preserve">: fichier email téléchargeable pour envoi depuis n’importe quel client mail.</w:t>
      </w:r>
    </w:p>
    <w:bookmarkEnd w:id="131"/>
    <w:bookmarkStart w:id="132"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32"/>
    <w:bookmarkStart w:id="133"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33"/>
    <w:bookmarkEnd w:id="134"/>
    <w:bookmarkStart w:id="137" w:name="avoirs-factures-davoir"/>
    <w:p>
      <w:pPr>
        <w:pStyle w:val="Heading1"/>
      </w:pPr>
      <w:r>
        <w:t xml:space="preserve">Avoirs (Factures d’avoir)</w:t>
      </w:r>
    </w:p>
    <w:bookmarkStart w:id="135" w:name="créer-un-avoir"/>
    <w:p>
      <w:pPr>
        <w:pStyle w:val="Heading2"/>
      </w:pPr>
      <w:r>
        <w:t xml:space="preserve">Créer un avoir</w:t>
      </w:r>
    </w:p>
    <w:p>
      <w:pPr>
        <w:pStyle w:val="FirstParagraph"/>
      </w:pPr>
      <w:r>
        <w:t xml:space="preserve">Deux méthodes :</w:t>
      </w:r>
    </w:p>
    <w:p>
      <w:pPr>
        <w:pStyle w:val="Compact"/>
        <w:numPr>
          <w:ilvl w:val="0"/>
          <w:numId w:val="1017"/>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7"/>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35"/>
    <w:bookmarkStart w:id="136"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36"/>
    <w:bookmarkEnd w:id="137"/>
    <w:bookmarkStart w:id="144" w:name="acomptes"/>
    <w:p>
      <w:pPr>
        <w:pStyle w:val="Heading1"/>
      </w:pPr>
      <w:r>
        <w:t xml:space="preserve">Acomptes</w:t>
      </w:r>
    </w:p>
    <w:p>
      <w:pPr>
        <w:pStyle w:val="FirstParagraph"/>
      </w:pPr>
      <w:r>
        <w:t xml:space="preserve">Les acomptes permettent de facturer une partie du montant avant livraison. Ils sont scellés et archivés comme les factures.</w:t>
      </w:r>
    </w:p>
    <w:bookmarkStart w:id="138" w:name="créer-un-acompte"/>
    <w:p>
      <w:pPr>
        <w:pStyle w:val="Heading2"/>
      </w:pPr>
      <w:r>
        <w:t xml:space="preserve">Créer un acompte</w:t>
      </w:r>
    </w:p>
    <w:p>
      <w:pPr>
        <w:pStyle w:val="FirstParagraph"/>
      </w:pPr>
      <w:r>
        <w:t xml:space="preserve">Depuis un devis accepté ou une facture, cliquez</w:t>
      </w:r>
      <w:r>
        <w:t xml:space="preserve"> </w:t>
      </w:r>
      <w:r>
        <w:rPr>
          <w:b/>
          <w:bCs/>
        </w:rPr>
        <w:t xml:space="preserve">Créer un acompte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 HT/TVA/TTC</w:t>
            </w:r>
          </w:p>
        </w:tc>
      </w:tr>
      <w:tr>
        <w:tc>
          <w:tcPr/>
          <w:p>
            <w:pPr>
              <w:pStyle w:val="Compact"/>
            </w:pPr>
            <w:r>
              <w:t xml:space="preserve">Montant HT</w:t>
            </w:r>
          </w:p>
        </w:tc>
        <w:tc>
          <w:tcPr/>
          <w:p>
            <w:pPr>
              <w:pStyle w:val="Compact"/>
            </w:pPr>
            <w:r>
              <w:t xml:space="preserve">Peut être saisi directement à la place du pourcentage</w:t>
            </w:r>
          </w:p>
        </w:tc>
      </w:tr>
      <w:tr>
        <w:tc>
          <w:tcPr/>
          <w:p>
            <w:pPr>
              <w:pStyle w:val="Compact"/>
            </w:pPr>
            <w:r>
              <w:t xml:space="preserve">Taux TVA</w:t>
            </w:r>
          </w:p>
        </w:tc>
        <w:tc>
          <w:tcPr/>
          <w:p>
            <w:pPr>
              <w:pStyle w:val="Compact"/>
            </w:pPr>
            <w:r>
              <w:t xml:space="preserve">Appliqué à la totalité de l’acompte</w:t>
            </w:r>
          </w:p>
        </w:tc>
      </w:tr>
    </w:tbl>
    <w:p>
      <w:pPr>
        <w:pStyle w:val="BodyText"/>
      </w:pPr>
      <w:r>
        <w:t xml:space="preserve">Le numéro est attribué automatiquement au format</w:t>
      </w:r>
      <w:r>
        <w:t xml:space="preserve"> </w:t>
      </w:r>
      <w:r>
        <w:rPr>
          <w:rStyle w:val="VerbatimChar"/>
        </w:rPr>
        <w:t xml:space="preserve">AC-YYYY-NNNN</w:t>
      </w:r>
      <w:r>
        <w:t xml:space="preserve">.</w:t>
      </w:r>
    </w:p>
    <w:bookmarkEnd w:id="138"/>
    <w:bookmarkStart w:id="139"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saisir la date et le mode de paiement → l’acompte est verrouillé et son PDF généré.</w:t>
      </w:r>
    </w:p>
    <w:bookmarkEnd w:id="139"/>
    <w:bookmarkStart w:id="140" w:name="imputer-un-acompte-sur-une-facture"/>
    <w:p>
      <w:pPr>
        <w:pStyle w:val="Heading2"/>
      </w:pPr>
      <w:r>
        <w:t xml:space="preserve">Imputer un acompte sur une facture</w:t>
      </w:r>
    </w:p>
    <w:p>
      <w:pPr>
        <w:pStyle w:val="FirstParagraph"/>
      </w:pPr>
      <w:r>
        <w:t xml:space="preserve">Une fois encaissé, l’acompte est disponible pour être déduit lors du paiement d’une facture du même client (voir</w:t>
      </w:r>
      <w:r>
        <w:t xml:space="preserve"> </w:t>
      </w:r>
      <w:hyperlink w:anchor="déduire-un-acompte-lors-du-paiement">
        <w:r>
          <w:rPr>
            <w:rStyle w:val="Hyperlink"/>
          </w:rPr>
          <w:t xml:space="preserve">Déduire un acompte lors du paiement</w:t>
        </w:r>
      </w:hyperlink>
      <w:r>
        <w:t xml:space="preserve">).</w:t>
      </w:r>
    </w:p>
    <w:bookmarkEnd w:id="140"/>
    <w:bookmarkStart w:id="141" w:name="reliquat-automatique"/>
    <w:p>
      <w:pPr>
        <w:pStyle w:val="Heading2"/>
      </w:pPr>
      <w:r>
        <w:t xml:space="preserve">Reliquat automatique</w:t>
      </w:r>
    </w:p>
    <w:p>
      <w:pPr>
        <w:pStyle w:val="FirstParagraph"/>
      </w:pPr>
      <w:r>
        <w:t xml:space="preserve">Si un acompte est supérieur au montant de la facture à laquelle il est imputé, FacturPro crée un</w:t>
      </w:r>
      <w:r>
        <w:t xml:space="preserve"> </w:t>
      </w:r>
      <w:r>
        <w:rPr>
          <w:b/>
          <w:bCs/>
        </w:rPr>
        <w:t xml:space="preserve">acompte reliquat</w:t>
      </w:r>
      <w:r>
        <w:t xml:space="preserve"> </w:t>
      </w:r>
      <w:r>
        <w:t xml:space="preserve">immédiatement encaissé pour la différence. Ce reliquat porte la mention</w:t>
      </w:r>
      <w:r>
        <w:t xml:space="preserve"> </w:t>
      </w:r>
      <w:r>
        <w:rPr>
          <w:rStyle w:val="VerbatimChar"/>
        </w:rPr>
        <w:t xml:space="preserve">Reliquat — AC-XXXX</w:t>
      </w:r>
      <w:r>
        <w:t xml:space="preserve"> </w:t>
      </w:r>
      <w:r>
        <w:t xml:space="preserve">et peut être utilisé sur une facture suivante.</w:t>
      </w:r>
    </w:p>
    <w:bookmarkEnd w:id="141"/>
    <w:bookmarkStart w:id="142" w:name="filtrer-par-statut-v3.2.10"/>
    <w:p>
      <w:pPr>
        <w:pStyle w:val="Heading2"/>
      </w:pPr>
      <w:r>
        <w:t xml:space="preserve">Filtrer par statut (v3.2.10)</w:t>
      </w:r>
    </w:p>
    <w:p>
      <w:pPr>
        <w:pStyle w:val="FirstParagraph"/>
      </w:pPr>
      <w:r>
        <w:t xml:space="preserve">Le sélecteur en haut de la liste filtre les acomptes par statut :</w:t>
      </w:r>
      <w:r>
        <w:t xml:space="preserve"> </w:t>
      </w:r>
      <w:r>
        <w:rPr>
          <w:b/>
          <w:bCs/>
        </w:rPr>
        <w:t xml:space="preserve">Tous les statuts</w:t>
      </w:r>
      <w:r>
        <w:t xml:space="preserve">,</w:t>
      </w:r>
      <w:r>
        <w:t xml:space="preserve"> </w:t>
      </w:r>
      <w:r>
        <w:rPr>
          <w:b/>
          <w:bCs/>
        </w:rPr>
        <w:t xml:space="preserve">En attente</w:t>
      </w:r>
      <w:r>
        <w:t xml:space="preserve">,</w:t>
      </w:r>
      <w:r>
        <w:t xml:space="preserve"> </w:t>
      </w:r>
      <w:r>
        <w:rPr>
          <w:b/>
          <w:bCs/>
        </w:rPr>
        <w:t xml:space="preserve">Encaissé</w:t>
      </w:r>
      <w:r>
        <w:t xml:space="preserve">.</w:t>
      </w:r>
    </w:p>
    <w:bookmarkEnd w:id="142"/>
    <w:bookmarkStart w:id="143" w:name="suivi-dans-la-liste"/>
    <w:p>
      <w:pPr>
        <w:pStyle w:val="Heading2"/>
      </w:pPr>
      <w:r>
        <w:t xml:space="preserve">Suivi dans la liste</w:t>
      </w:r>
    </w:p>
    <w:p>
      <w:pPr>
        <w:pStyle w:val="FirstParagraph"/>
      </w:pPr>
      <w:r>
        <w:t xml:space="preserve">La liste des acomptes affiche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Numéro</w:t>
            </w:r>
          </w:p>
        </w:tc>
        <w:tc>
          <w:tcPr/>
          <w:p>
            <w:pPr>
              <w:pStyle w:val="Compact"/>
            </w:pPr>
            <w:r>
              <w:rPr>
                <w:rStyle w:val="VerbatimChar"/>
              </w:rPr>
              <w:t xml:space="preserve">AC-YYYY-NNNN</w:t>
            </w:r>
            <w:r>
              <w:t xml:space="preserve"> </w:t>
            </w:r>
            <w:r>
              <w:t xml:space="preserve">; les reliquats sont identifiés par leur origine</w:t>
            </w:r>
          </w:p>
        </w:tc>
      </w:tr>
      <w:tr>
        <w:tc>
          <w:tcPr/>
          <w:p>
            <w:pPr>
              <w:pStyle w:val="Compact"/>
            </w:pPr>
            <w:r>
              <w:t xml:space="preserve">Statut</w:t>
            </w:r>
          </w:p>
        </w:tc>
        <w:tc>
          <w:tcPr/>
          <w:p>
            <w:pPr>
              <w:pStyle w:val="Compact"/>
            </w:pPr>
            <w:r>
              <w:rPr>
                <w:rStyle w:val="VerbatimChar"/>
              </w:rPr>
              <w:t xml:space="preserve">encaissé</w:t>
            </w:r>
            <w:r>
              <w:t xml:space="preserve"> </w:t>
            </w:r>
            <w:r>
              <w:t xml:space="preserve">ou</w:t>
            </w:r>
            <w:r>
              <w:t xml:space="preserve"> </w:t>
            </w:r>
            <w:r>
              <w:rPr>
                <w:rStyle w:val="VerbatimChar"/>
              </w:rPr>
              <w:t xml:space="preserve">→ FAC-XXXX</w:t>
            </w:r>
            <w:r>
              <w:t xml:space="preserve"> </w:t>
            </w:r>
            <w:r>
              <w:t xml:space="preserve">quand l’acompte a été utilisé pour payer une facture</w:t>
            </w:r>
          </w:p>
        </w:tc>
      </w:tr>
      <w:tr>
        <w:tc>
          <w:tcPr/>
          <w:p>
            <w:pPr>
              <w:pStyle w:val="Compact"/>
            </w:pPr>
            <w:r>
              <w:t xml:space="preserve">Origine / Utilisé pour</w:t>
            </w:r>
          </w:p>
        </w:tc>
        <w:tc>
          <w:tcPr/>
          <w:p>
            <w:pPr>
              <w:pStyle w:val="Compact"/>
            </w:pPr>
            <w:r>
              <w:t xml:space="preserve">Visibles dans la fiche détail de l’acompte</w:t>
            </w:r>
          </w:p>
        </w:tc>
      </w:tr>
    </w:tbl>
    <w:p>
      <w:r>
        <w:pict>
          <v:rect style="width:0;height:1.5pt" o:hralign="center" o:hrstd="t" o:hr="t"/>
        </w:pict>
      </w:r>
    </w:p>
    <w:bookmarkEnd w:id="143"/>
    <w:bookmarkEnd w:id="144"/>
    <w:bookmarkStart w:id="150" w:name="bons-de-livraison"/>
    <w:p>
      <w:pPr>
        <w:pStyle w:val="Heading1"/>
      </w:pPr>
      <w:r>
        <w:t xml:space="preserve">Bons de livraison</w:t>
      </w:r>
    </w:p>
    <w:p>
      <w:pPr>
        <w:pStyle w:val="FirstParagraph"/>
      </w:pPr>
      <w:r>
        <w:t xml:space="preserve">Les BL documentent la remise des biens ou la réalisation des prestations.</w:t>
      </w:r>
    </w:p>
    <w:bookmarkStart w:id="145" w:name="filtrer-par-statut-v3.2.10-1"/>
    <w:p>
      <w:pPr>
        <w:pStyle w:val="Heading2"/>
      </w:pPr>
      <w:r>
        <w:t xml:space="preserve">Filtrer par statut (v3.2.10)</w:t>
      </w:r>
    </w:p>
    <w:p>
      <w:pPr>
        <w:pStyle w:val="FirstParagraph"/>
      </w:pPr>
      <w:r>
        <w:t xml:space="preserve">Le sélecteur en haut de la liste filtre les BL par statut :</w:t>
      </w:r>
      <w:r>
        <w:t xml:space="preserve"> </w:t>
      </w:r>
      <w:r>
        <w:rPr>
          <w:b/>
          <w:bCs/>
        </w:rPr>
        <w:t xml:space="preserve">Tous les statuts</w:t>
      </w:r>
      <w:r>
        <w:t xml:space="preserve">,</w:t>
      </w:r>
      <w:r>
        <w:t xml:space="preserve"> </w:t>
      </w:r>
      <w:r>
        <w:rPr>
          <w:b/>
          <w:bCs/>
        </w:rPr>
        <w:t xml:space="preserve">Brouillon</w:t>
      </w:r>
      <w:r>
        <w:t xml:space="preserve">,</w:t>
      </w:r>
      <w:r>
        <w:t xml:space="preserve"> </w:t>
      </w:r>
      <w:r>
        <w:rPr>
          <w:b/>
          <w:bCs/>
        </w:rPr>
        <w:t xml:space="preserve">Émis</w:t>
      </w:r>
      <w:r>
        <w:t xml:space="preserve">,</w:t>
      </w:r>
      <w:r>
        <w:t xml:space="preserve"> </w:t>
      </w:r>
      <w:r>
        <w:rPr>
          <w:b/>
          <w:bCs/>
        </w:rPr>
        <w:t xml:space="preserve">Livré</w:t>
      </w:r>
      <w:r>
        <w:t xml:space="preserve">.</w:t>
      </w:r>
    </w:p>
    <w:bookmarkEnd w:id="145"/>
    <w:bookmarkStart w:id="146"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46"/>
    <w:bookmarkStart w:id="149" w:name="créer-une-facture-depuis-un-bl"/>
    <w:p>
      <w:pPr>
        <w:pStyle w:val="Heading2"/>
      </w:pPr>
      <w:r>
        <w:t xml:space="preserve">Créer une facture depuis un BL</w:t>
      </w:r>
    </w:p>
    <w:bookmarkStart w:id="147" w:name="depuis-un-seul-bl"/>
    <w:p>
      <w:pPr>
        <w:pStyle w:val="Heading3"/>
      </w:pPr>
      <w:r>
        <w:t xml:space="preserve">Depuis un seul BL</w:t>
      </w:r>
    </w:p>
    <w:p>
      <w:pPr>
        <w:pStyle w:val="FirstParagraph"/>
      </w:pPr>
      <w:r>
        <w:t xml:space="preserve">Bouton</w:t>
      </w:r>
      <w:r>
        <w:t xml:space="preserve"> </w:t>
      </w:r>
      <w:r>
        <w:rPr>
          <w:b/>
          <w:bCs/>
        </w:rPr>
        <w:t xml:space="preserve">🧾 → Facture</w:t>
      </w:r>
      <w:r>
        <w:t xml:space="preserve"> </w:t>
      </w:r>
      <w:r>
        <w:t xml:space="preserve">sur la ligne du BL → facture pré-remplie avec le client et les lignes du BL.</w:t>
      </w:r>
    </w:p>
    <w:bookmarkEnd w:id="147"/>
    <w:bookmarkStart w:id="148" w:name="depuis-plusieurs-bl-facture-groupée"/>
    <w:p>
      <w:pPr>
        <w:pStyle w:val="Heading3"/>
      </w:pPr>
      <w:r>
        <w:t xml:space="preserve">Depuis plusieurs BL (facture groupée)</w:t>
      </w:r>
    </w:p>
    <w:p>
      <w:pPr>
        <w:pStyle w:val="FirstParagraph"/>
      </w:pPr>
      <w:r>
        <w:t xml:space="preserve">Vous pouvez sélectionner plusieurs BL pour les regrouper en une seule facture :</w:t>
      </w:r>
    </w:p>
    <w:p>
      <w:pPr>
        <w:pStyle w:val="Compact"/>
        <w:numPr>
          <w:ilvl w:val="0"/>
          <w:numId w:val="1018"/>
        </w:numPr>
      </w:pPr>
      <w:r>
        <w:t xml:space="preserve">Cochez les cases à gauche de chaque BL souhaité.</w:t>
      </w:r>
    </w:p>
    <w:p>
      <w:pPr>
        <w:pStyle w:val="Compact"/>
        <w:numPr>
          <w:ilvl w:val="0"/>
          <w:numId w:val="1018"/>
        </w:numPr>
      </w:pPr>
      <w:r>
        <w:t xml:space="preserve">Le bouton</w:t>
      </w:r>
      <w:r>
        <w:t xml:space="preserve"> </w:t>
      </w:r>
      <w:r>
        <w:rPr>
          <w:b/>
          <w:bCs/>
        </w:rPr>
        <w:t xml:space="preserve">🧾 Facturer la sélection (N)</w:t>
      </w:r>
      <w:r>
        <w:t xml:space="preserve"> </w:t>
      </w:r>
      <w:r>
        <w:t xml:space="preserve">apparaît dans la barre et indique le nombre de BL cochés.</w:t>
      </w:r>
    </w:p>
    <w:p>
      <w:pPr>
        <w:pStyle w:val="Compact"/>
        <w:numPr>
          <w:ilvl w:val="0"/>
          <w:numId w:val="1018"/>
        </w:numPr>
      </w:pPr>
      <w:r>
        <w:t xml:space="preserve">Cliquez le bouton → une facture s’ouvre, pré-remplie avec le client commun et toutes les lignes des BL dans l’ordre.</w:t>
      </w:r>
    </w:p>
    <w:p>
      <w:pPr>
        <w:pStyle w:val="BlockText"/>
      </w:pPr>
      <w:r>
        <w:t xml:space="preserve">Tous les BL sélectionnés doivent appartenir au</w:t>
      </w:r>
      <w:r>
        <w:t xml:space="preserve"> </w:t>
      </w:r>
      <w:r>
        <w:rPr>
          <w:b/>
          <w:bCs/>
        </w:rPr>
        <w:t xml:space="preserve">même client</w:t>
      </w:r>
      <w:r>
        <w:t xml:space="preserve"> </w:t>
      </w:r>
      <w:r>
        <w:t xml:space="preserve">— un message d’erreur s’affiche si ce n’est pas le cas.</w:t>
      </w:r>
    </w:p>
    <w:p>
      <w:r>
        <w:pict>
          <v:rect style="width:0;height:1.5pt" o:hralign="center" o:hrstd="t" o:hr="t"/>
        </w:pict>
      </w:r>
    </w:p>
    <w:bookmarkEnd w:id="148"/>
    <w:bookmarkEnd w:id="149"/>
    <w:bookmarkEnd w:id="150"/>
    <w:bookmarkStart w:id="153" w:name="prélèvements-sepa"/>
    <w:p>
      <w:pPr>
        <w:pStyle w:val="Heading1"/>
      </w:pPr>
      <w:r>
        <w:t xml:space="preserve">Prélèvements SEPA</w:t>
      </w:r>
    </w:p>
    <w:p>
      <w:pPr>
        <w:pStyle w:val="FirstParagraph"/>
      </w:pPr>
      <w:r>
        <w:t xml:space="preserve">Génère des fichiers XML pain.008.001.02 importables dans votre interface bancaire.</w:t>
      </w:r>
    </w:p>
    <w:bookmarkStart w:id="151" w:name="prérequis"/>
    <w:p>
      <w:pPr>
        <w:pStyle w:val="Heading2"/>
      </w:pPr>
      <w:r>
        <w:t xml:space="preserve">Prérequis</w:t>
      </w:r>
    </w:p>
    <w:p>
      <w:pPr>
        <w:pStyle w:val="Compact"/>
        <w:numPr>
          <w:ilvl w:val="0"/>
          <w:numId w:val="1019"/>
        </w:numPr>
      </w:pPr>
      <w:r>
        <w:rPr>
          <w:b/>
          <w:bCs/>
        </w:rPr>
        <w:t xml:space="preserve">Entreprise</w:t>
      </w:r>
      <w:r>
        <w:t xml:space="preserve"> </w:t>
      </w:r>
      <w:r>
        <w:t xml:space="preserve">: ICS, IBAN, BIC renseignés dans Paramètres.</w:t>
      </w:r>
    </w:p>
    <w:p>
      <w:pPr>
        <w:pStyle w:val="Compact"/>
        <w:numPr>
          <w:ilvl w:val="0"/>
          <w:numId w:val="1019"/>
        </w:numPr>
      </w:pPr>
      <w:r>
        <w:rPr>
          <w:b/>
          <w:bCs/>
        </w:rPr>
        <w:t xml:space="preserve">Client</w:t>
      </w:r>
      <w:r>
        <w:t xml:space="preserve"> </w:t>
      </w:r>
      <w:r>
        <w:t xml:space="preserve">: IBAN, BIC, RUM, date de mandat dans la fiche client.</w:t>
      </w:r>
    </w:p>
    <w:bookmarkEnd w:id="151"/>
    <w:bookmarkStart w:id="152" w:name="générer-un-fichier-sepa"/>
    <w:p>
      <w:pPr>
        <w:pStyle w:val="Heading2"/>
      </w:pPr>
      <w:r>
        <w:t xml:space="preserve">Générer un fichier SEPA</w:t>
      </w:r>
    </w:p>
    <w:p>
      <w:pPr>
        <w:pStyle w:val="Compact"/>
        <w:numPr>
          <w:ilvl w:val="0"/>
          <w:numId w:val="1020"/>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20"/>
        </w:numPr>
      </w:pPr>
      <w:r>
        <w:t xml:space="preserve">Cliquer</w:t>
      </w:r>
      <w:r>
        <w:t xml:space="preserve"> </w:t>
      </w:r>
      <w:r>
        <w:rPr>
          <w:b/>
          <w:bCs/>
        </w:rPr>
        <w:t xml:space="preserve">Générer SEPA</w:t>
      </w:r>
      <w:r>
        <w:t xml:space="preserve">.</w:t>
      </w:r>
    </w:p>
    <w:p>
      <w:pPr>
        <w:pStyle w:val="Compact"/>
        <w:numPr>
          <w:ilvl w:val="0"/>
          <w:numId w:val="1020"/>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20"/>
        </w:numPr>
      </w:pPr>
      <w:r>
        <w:t xml:space="preserve">Télécharger le fichier XML et l’importer dans votre banque.</w:t>
      </w:r>
    </w:p>
    <w:p>
      <w:r>
        <w:pict>
          <v:rect style="width:0;height:1.5pt" o:hralign="center" o:hrstd="t" o:hr="t"/>
        </w:pict>
      </w:r>
    </w:p>
    <w:bookmarkEnd w:id="152"/>
    <w:bookmarkEnd w:id="153"/>
    <w:bookmarkStart w:id="178"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160" w:name="fournisseurs"/>
    <w:p>
      <w:pPr>
        <w:pStyle w:val="Heading2"/>
      </w:pPr>
      <w:r>
        <w:t xml:space="preserve">Fournisseurs</w:t>
      </w:r>
    </w:p>
    <w:p>
      <w:pPr>
        <w:pStyle w:val="CaptionedFigure"/>
      </w:pPr>
      <w:r>
        <w:drawing>
          <wp:inline>
            <wp:extent cx="5334000" cy="2637413"/>
            <wp:effectExtent b="0" l="0" r="0" t="0"/>
            <wp:docPr descr="Liste des fournisseurs" title="" id="155" name="Picture"/>
            <a:graphic>
              <a:graphicData uri="http://schemas.openxmlformats.org/drawingml/2006/picture">
                <pic:pic>
                  <pic:nvPicPr>
                    <pic:cNvPr descr="screenshots/20-fournisseurs-liste.png" id="156" name="Picture"/>
                    <pic:cNvPicPr>
                      <a:picLocks noChangeArrowheads="1" noChangeAspect="1"/>
                    </pic:cNvPicPr>
                  </pic:nvPicPr>
                  <pic:blipFill>
                    <a:blip r:embed="rId15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3"/>
            <wp:effectExtent b="0" l="0" r="0" t="0"/>
            <wp:docPr descr="Fiche fournisseur" title="" id="158" name="Picture"/>
            <a:graphic>
              <a:graphicData uri="http://schemas.openxmlformats.org/drawingml/2006/picture">
                <pic:pic>
                  <pic:nvPicPr>
                    <pic:cNvPr descr="screenshots/21-fournisseur-fiche.png" id="159" name="Picture"/>
                    <pic:cNvPicPr>
                      <a:picLocks noChangeArrowheads="1" noChangeAspect="1"/>
                    </pic:cNvPicPr>
                  </pic:nvPicPr>
                  <pic:blipFill>
                    <a:blip r:embed="rId15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 *</w:t>
            </w:r>
          </w:p>
        </w:tc>
        <w:tc>
          <w:tcPr/>
          <w:p>
            <w:pPr>
              <w:pStyle w:val="Compact"/>
            </w:pPr>
            <w:r>
              <w:t xml:space="preserve">Obligatoire</w:t>
            </w:r>
          </w:p>
        </w:tc>
      </w:tr>
      <w:tr>
        <w:tc>
          <w:tcPr/>
          <w:p>
            <w:pPr>
              <w:pStyle w:val="Compact"/>
            </w:pPr>
            <w:r>
              <w:t xml:space="preserve">Adresse / Complément / Code postal / Ville</w:t>
            </w:r>
          </w:p>
        </w:tc>
        <w:tc>
          <w:tcPr/>
          <w:p>
            <w:pPr>
              <w:pStyle w:val="Compact"/>
            </w:pPr>
            <w:r>
              <w:t xml:space="preserve">Coordonnées postales</w:t>
            </w:r>
          </w:p>
        </w:tc>
      </w:tr>
      <w:tr>
        <w:tc>
          <w:tcPr/>
          <w:p>
            <w:pPr>
              <w:pStyle w:val="Compact"/>
            </w:pPr>
            <w:r>
              <w:t xml:space="preserve">Email / Téléphone</w:t>
            </w:r>
          </w:p>
        </w:tc>
        <w:tc>
          <w:tcPr/>
          <w:p>
            <w:pPr>
              <w:pStyle w:val="Compact"/>
            </w:pPr>
            <w:r>
              <w:t xml:space="preserve">Coordonnées de contact</w:t>
            </w:r>
          </w:p>
        </w:tc>
      </w:tr>
      <w:tr>
        <w:tc>
          <w:tcPr/>
          <w:p>
            <w:pPr>
              <w:pStyle w:val="Compact"/>
            </w:pPr>
            <w:r>
              <w:t xml:space="preserve">SIRET / TVA Intracom</w:t>
            </w:r>
          </w:p>
        </w:tc>
        <w:tc>
          <w:tcPr/>
          <w:p>
            <w:pPr>
              <w:pStyle w:val="Compact"/>
            </w:pPr>
            <w:r>
              <w:t xml:space="preserve">Identifiants légaux</w:t>
            </w:r>
          </w:p>
        </w:tc>
      </w:tr>
      <w:tr>
        <w:tc>
          <w:tcPr/>
          <w:p>
            <w:pPr>
              <w:pStyle w:val="Compact"/>
            </w:pPr>
            <w:r>
              <w:t xml:space="preserve">Conditions de paiement</w:t>
            </w:r>
          </w:p>
        </w:tc>
        <w:tc>
          <w:tcPr/>
          <w:p>
            <w:pPr>
              <w:pStyle w:val="Compact"/>
            </w:pPr>
            <w:r>
              <w:t xml:space="preserve">Texte libre, pour information uniquement</w:t>
            </w:r>
          </w:p>
        </w:tc>
      </w:tr>
      <w:tr>
        <w:tc>
          <w:tcPr/>
          <w:p>
            <w:pPr>
              <w:pStyle w:val="Compact"/>
            </w:pPr>
            <w:r>
              <w:t xml:space="preserve">IBAN / BIC</w:t>
            </w:r>
          </w:p>
        </w:tc>
        <w:tc>
          <w:tcPr/>
          <w:p>
            <w:pPr>
              <w:pStyle w:val="Compact"/>
            </w:pPr>
            <w:r>
              <w:t xml:space="preserve">Coordonnées bancaires pour vos virements, repliées dans</w:t>
            </w:r>
            <w:r>
              <w:t xml:space="preserve"> </w:t>
            </w:r>
            <w:r>
              <w:rPr>
                <w:b/>
                <w:bCs/>
              </w:rPr>
              <w:t xml:space="preserve">🏦 Coordonnées bancaires</w:t>
            </w:r>
          </w:p>
        </w:tc>
      </w:tr>
      <w:tr>
        <w:tc>
          <w:tcPr/>
          <w:p>
            <w:pPr>
              <w:pStyle w:val="Compact"/>
            </w:pPr>
            <w:r>
              <w:t xml:space="preserve">Notes</w:t>
            </w:r>
          </w:p>
        </w:tc>
        <w:tc>
          <w:tcPr/>
          <w:p>
            <w:pPr>
              <w:pStyle w:val="Compac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160"/>
    <w:bookmarkStart w:id="171" w:name="commandes-bons-de-commande"/>
    <w:p>
      <w:pPr>
        <w:pStyle w:val="Heading2"/>
      </w:pPr>
      <w:r>
        <w:t xml:space="preserve">Commandes (bons de commande)</w:t>
      </w:r>
    </w:p>
    <w:p>
      <w:pPr>
        <w:pStyle w:val="CaptionedFigure"/>
      </w:pPr>
      <w:r>
        <w:drawing>
          <wp:inline>
            <wp:extent cx="5334000" cy="2637413"/>
            <wp:effectExtent b="0" l="0" r="0" t="0"/>
            <wp:docPr descr="Liste des commandes" title="" id="162" name="Picture"/>
            <a:graphic>
              <a:graphicData uri="http://schemas.openxmlformats.org/drawingml/2006/picture">
                <pic:pic>
                  <pic:nvPicPr>
                    <pic:cNvPr descr="screenshots/22-commandes-liste.png" id="163" name="Picture"/>
                    <pic:cNvPicPr>
                      <a:picLocks noChangeArrowheads="1" noChangeAspect="1"/>
                    </pic:cNvPicPr>
                  </pic:nvPicPr>
                  <pic:blipFill>
                    <a:blip r:embed="rId16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bons de commande passés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bookmarkStart w:id="167" w:name="éditeur-de-bon-de-commande-v3.2.8"/>
    <w:p>
      <w:pPr>
        <w:pStyle w:val="Heading3"/>
      </w:pPr>
      <w:r>
        <w:t xml:space="preserve">Éditeur de bon de commande (v3.2.8)</w:t>
      </w:r>
    </w:p>
    <w:p>
      <w:pPr>
        <w:pStyle w:val="FirstParagraph"/>
      </w:pPr>
      <w:r>
        <w:t xml:space="preserve">Depuis la v3.2.8, les commandes s’éditent dans le</w:t>
      </w:r>
      <w:r>
        <w:t xml:space="preserve"> </w:t>
      </w:r>
      <w:r>
        <w:rPr>
          <w:b/>
          <w:bCs/>
        </w:rPr>
        <w:t xml:space="preserve">même éditeur WYSIWYG que les devis</w:t>
      </w:r>
      <w:r>
        <w:t xml:space="preserve"> </w:t>
      </w:r>
      <w:r>
        <w:t xml:space="preserve">: page A4 fidèle au PDF, lignes détaillées, totaux calculés en temps réel.</w:t>
      </w:r>
    </w:p>
    <w:p>
      <w:pPr>
        <w:pStyle w:val="CaptionedFigure"/>
      </w:pPr>
      <w:r>
        <w:drawing>
          <wp:inline>
            <wp:extent cx="5334000" cy="3319106"/>
            <wp:effectExtent b="0" l="0" r="0" t="0"/>
            <wp:docPr descr="Éditeur de bon de commande" title="" id="165" name="Picture"/>
            <a:graphic>
              <a:graphicData uri="http://schemas.openxmlformats.org/drawingml/2006/picture">
                <pic:pic>
                  <pic:nvPicPr>
                    <pic:cNvPr descr="screenshots/27-commande-editeur.png" id="166" name="Picture"/>
                    <pic:cNvPicPr>
                      <a:picLocks noChangeArrowheads="1" noChangeAspect="1"/>
                    </pic:cNvPicPr>
                  </pic:nvPicPr>
                  <pic:blipFill>
                    <a:blip r:embed="rId164"/>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Éditeur de bon de commande</w:t>
      </w:r>
    </w:p>
    <w:p>
      <w:pPr>
        <w:pStyle w:val="BodyText"/>
      </w:pPr>
      <w:r>
        <w:rPr>
          <w:b/>
          <w:bCs/>
        </w:rPr>
        <w:t xml:space="preserve">+ Nouvelle commande</w:t>
      </w:r>
      <w:r>
        <w:t xml:space="preserve"> </w:t>
      </w:r>
      <w:r>
        <w:t xml:space="preserve">(ou</w:t>
      </w:r>
      <w:r>
        <w:t xml:space="preserve"> </w:t>
      </w:r>
      <w:r>
        <w:rPr>
          <w:b/>
          <w:bCs/>
        </w:rPr>
        <w:t xml:space="preserve">Éditer</w:t>
      </w:r>
      <w:r>
        <w:t xml:space="preserve"> </w:t>
      </w:r>
      <w:r>
        <w:t xml:space="preserve">sur une ligne de la liste) ouvre l’éditeur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Recherche dans l’annuaire fournisseurs,</w:t>
            </w:r>
            <w:r>
              <w:t xml:space="preserve"> </w:t>
            </w:r>
            <w:r>
              <w:rPr>
                <w:b/>
                <w:bCs/>
              </w:rPr>
              <w:t xml:space="preserve">ou nom libre</w:t>
            </w:r>
            <w:r>
              <w:t xml:space="preserve"> </w:t>
            </w:r>
            <w:r>
              <w:t xml:space="preserve">(tapez simplement le nom sans sélectionner)</w:t>
            </w:r>
          </w:p>
        </w:tc>
      </w:tr>
      <w:tr>
        <w:tc>
          <w:tcPr/>
          <w:p>
            <w:pPr>
              <w:pStyle w:val="Compact"/>
            </w:pPr>
            <w:r>
              <w:t xml:space="preserve">Date de commande *</w:t>
            </w:r>
          </w:p>
        </w:tc>
        <w:tc>
          <w:tcPr/>
          <w:p>
            <w:pPr>
              <w:pStyle w:val="Compact"/>
            </w:pPr>
            <w:r>
              <w:t xml:space="preserve">Date de passation</w:t>
            </w:r>
          </w:p>
        </w:tc>
      </w:tr>
      <w:tr>
        <w:tc>
          <w:tcPr/>
          <w:p>
            <w:pPr>
              <w:pStyle w:val="Compact"/>
            </w:pPr>
            <w:r>
              <w:t xml:space="preserve">Livraison prévue</w:t>
            </w:r>
          </w:p>
        </w:tc>
        <w:tc>
          <w:tcPr/>
          <w:p>
            <w:pPr>
              <w:pStyle w:val="Compact"/>
            </w:pPr>
            <w:r>
              <w:t xml:space="preserve">Date estimée de réception</w:t>
            </w:r>
          </w:p>
        </w:tc>
      </w:tr>
      <w:tr>
        <w:tc>
          <w:tcPr/>
          <w:p>
            <w:pPr>
              <w:pStyle w:val="Compact"/>
            </w:pPr>
            <w:r>
              <w:t xml:space="preserve">Objet</w:t>
            </w:r>
          </w:p>
        </w:tc>
        <w:tc>
          <w:tcPr/>
          <w:p>
            <w:pPr>
              <w:pStyle w:val="Compact"/>
            </w:pPr>
            <w:r>
              <w:t xml:space="preserve">Objet de la commande</w:t>
            </w:r>
          </w:p>
        </w:tc>
      </w:tr>
      <w:tr>
        <w:tc>
          <w:tcPr/>
          <w:p>
            <w:pPr>
              <w:pStyle w:val="Compact"/>
            </w:pPr>
            <w:r>
              <w:t xml:space="preserve">Statut</w:t>
            </w:r>
          </w:p>
        </w:tc>
        <w:tc>
          <w:tcPr/>
          <w:p>
            <w:pPr>
              <w:pStyle w:val="Compact"/>
            </w:pPr>
            <w:r>
              <w:t xml:space="preserve">En cours / Réceptionnée / Annulée</w:t>
            </w:r>
          </w:p>
        </w:tc>
      </w:tr>
      <w:tr>
        <w:tc>
          <w:tcPr/>
          <w:p>
            <w:pPr>
              <w:pStyle w:val="Compact"/>
            </w:pPr>
            <w:r>
              <w:t xml:space="preserve">Lignes</w:t>
            </w:r>
          </w:p>
        </w:tc>
        <w:tc>
          <w:tcPr/>
          <w:p>
            <w:pPr>
              <w:pStyle w:val="Compact"/>
            </w:pPr>
            <w:r>
              <w:t xml:space="preserve">Désignation, description, quantité, P.U. HT, remise %, TVA — comme sur un devis</w:t>
            </w:r>
          </w:p>
        </w:tc>
      </w:tr>
      <w:tr>
        <w:tc>
          <w:tcPr/>
          <w:p>
            <w:pPr>
              <w:pStyle w:val="Compact"/>
            </w:pPr>
            <w:r>
              <w:t xml:space="preserve">Notes</w:t>
            </w:r>
          </w:p>
        </w:tc>
        <w:tc>
          <w:tcPr/>
          <w:p>
            <w:pPr>
              <w:pStyle w:val="Compact"/>
            </w:pPr>
            <w:r>
              <w:t xml:space="preserve">Instructions au fournisseur, imprimées en bas du PDF</w:t>
            </w:r>
          </w:p>
        </w:tc>
      </w:tr>
    </w:tbl>
    <w:p>
      <w:pPr>
        <w:pStyle w:val="BodyText"/>
      </w:pPr>
      <w:r>
        <w:t xml:space="preserve">Le numéro</w:t>
      </w:r>
      <w:r>
        <w:t xml:space="preserve"> </w:t>
      </w:r>
      <w:r>
        <w:rPr>
          <w:rStyle w:val="VerbatimChar"/>
        </w:rPr>
        <w:t xml:space="preserve">CMD-2026-0001</w:t>
      </w:r>
      <w:r>
        <w:t xml:space="preserve"> </w:t>
      </w:r>
      <w:r>
        <w:t xml:space="preserve">est attribué au premier enregistrement.</w:t>
      </w:r>
      <w:r>
        <w:t xml:space="preserve"> </w:t>
      </w:r>
      <w:r>
        <w:rPr>
          <w:b/>
          <w:bCs/>
        </w:rPr>
        <w:t xml:space="preserve">👁 Aperçu PDF</w:t>
      </w:r>
      <w:r>
        <w:t xml:space="preserve"> </w:t>
      </w:r>
      <w:r>
        <w:t xml:space="preserve">et</w:t>
      </w:r>
      <w:r>
        <w:t xml:space="preserve"> </w:t>
      </w:r>
      <w:r>
        <w:rPr>
          <w:b/>
          <w:bCs/>
        </w:rPr>
        <w:t xml:space="preserve">🖨️ Imprimer</w:t>
      </w:r>
      <w:r>
        <w:t xml:space="preserve"> </w:t>
      </w:r>
      <w:r>
        <w:t xml:space="preserve">génèrent le bon de commande à envoyer au fournisseur (sans CGV de vente ni cadre signature — ce sont des mentions de documents émis aux clients).</w:t>
      </w:r>
    </w:p>
    <w:p>
      <w:pPr>
        <w:pStyle w:val="BlockText"/>
      </w:pPr>
      <w:r>
        <w:rPr>
          <w:b/>
          <w:bCs/>
        </w:rPr>
        <w:t xml:space="preserve">Prix d’achat automatique</w:t>
      </w:r>
      <w:r>
        <w:t xml:space="preserve"> </w:t>
      </w:r>
      <w:r>
        <w:t xml:space="preserve">: en insérant un article du catalogue dans une ligne, c’est son</w:t>
      </w:r>
      <w:r>
        <w:t xml:space="preserve"> </w:t>
      </w:r>
      <w:r>
        <w:rPr>
          <w:b/>
          <w:bCs/>
        </w:rPr>
        <w:t xml:space="preserve">prix d’achat HT</w:t>
      </w:r>
      <w:r>
        <w:t xml:space="preserve"> </w:t>
      </w:r>
      <w:r>
        <w:t xml:space="preserve">(et non son prix de vente) qui est pré-rempli, s’il est renseigné dans la fiche article.</w:t>
      </w:r>
    </w:p>
    <w:bookmarkEnd w:id="167"/>
    <w:bookmarkStart w:id="168" w:name="envoyer-la-commande-par-email-v3.2.10"/>
    <w:p>
      <w:pPr>
        <w:pStyle w:val="Heading3"/>
      </w:pPr>
      <w:r>
        <w:t xml:space="preserve">Envoyer la commande par email (v3.2.10)</w:t>
      </w:r>
    </w:p>
    <w:p>
      <w:pPr>
        <w:pStyle w:val="FirstParagraph"/>
      </w:pPr>
      <w:r>
        <w:t xml:space="preserve">Le bouton</w:t>
      </w:r>
      <w:r>
        <w:t xml:space="preserve"> </w:t>
      </w:r>
      <w:r>
        <w:rPr>
          <w:b/>
          <w:bCs/>
        </w:rPr>
        <w:t xml:space="preserve">✉ Envoyer</w:t>
      </w:r>
      <w:r>
        <w:t xml:space="preserve"> </w:t>
      </w:r>
      <w:r>
        <w:t xml:space="preserve">— disponible sur la ligne de la liste et dans la barre d’outils de l’éditeur (commande déjà enregistrée) — ouvre une fenêtre de confirmation avec l’</w:t>
      </w:r>
      <w:r>
        <w:rPr>
          <w:b/>
          <w:bCs/>
        </w:rPr>
        <w:t xml:space="preserve">email du fournisseur pré-rempli</w:t>
      </w:r>
      <w:r>
        <w:t xml:space="preserve"> </w:t>
      </w:r>
      <w:r>
        <w:t xml:space="preserve">(si renseigné dans l’annuaire</w:t>
      </w:r>
      <w:r>
        <w:t xml:space="preserve"> </w:t>
      </w:r>
      <w:r>
        <w:rPr>
          <w:b/>
          <w:bCs/>
        </w:rPr>
        <w:t xml:space="preserve">Fournisseurs</w:t>
      </w:r>
      <w:r>
        <w:t xml:space="preserve">). Validez pour envoyer le PDF du bon de commande en pièce jointe.</w:t>
      </w:r>
    </w:p>
    <w:bookmarkEnd w:id="168"/>
    <w:bookmarkStart w:id="169" w:name="facturer-une-commande-v3.2.10"/>
    <w:p>
      <w:pPr>
        <w:pStyle w:val="Heading3"/>
      </w:pPr>
      <w:r>
        <w:t xml:space="preserve">Facturer une commande (v3.2.10)</w:t>
      </w:r>
    </w:p>
    <w:p>
      <w:pPr>
        <w:pStyle w:val="FirstParagraph"/>
      </w:pPr>
      <w:r>
        <w:t xml:space="preserve">Tant qu’aucune facture d’achat n’est liée, le bouton</w:t>
      </w:r>
      <w:r>
        <w:t xml:space="preserve"> </w:t>
      </w:r>
      <w:r>
        <w:rPr>
          <w:b/>
          <w:bCs/>
        </w:rPr>
        <w:t xml:space="preserve">🧾 → Facture d’achat</w:t>
      </w:r>
      <w:r>
        <w:t xml:space="preserve"> </w:t>
      </w:r>
      <w:r>
        <w:t xml:space="preserve">— sur la ligne de la liste et dans la barre d’outils de l’éditeur — ouvre l’éditeur de</w:t>
      </w:r>
      <w:r>
        <w:t xml:space="preserve"> </w:t>
      </w:r>
      <w:r>
        <w:rPr>
          <w:b/>
          <w:bCs/>
        </w:rPr>
        <w:t xml:space="preserve">facture d’achat pré-rempli</w:t>
      </w:r>
      <w:r>
        <w:t xml:space="preserve"> </w:t>
      </w:r>
      <w:r>
        <w:t xml:space="preserve">avec le fournisseur, l’objet et les lignes de la commande. Complétez le</w:t>
      </w:r>
      <w:r>
        <w:t xml:space="preserve"> </w:t>
      </w:r>
      <w:r>
        <w:rPr>
          <w:b/>
          <w:bCs/>
        </w:rPr>
        <w:t xml:space="preserve">N° de facture fournisseur</w:t>
      </w:r>
      <w:r>
        <w:t xml:space="preserve"> </w:t>
      </w:r>
      <w:r>
        <w:t xml:space="preserve">puis enregistrez : la commande est automatiquement</w:t>
      </w:r>
      <w:r>
        <w:t xml:space="preserve"> </w:t>
      </w:r>
      <w:r>
        <w:rPr>
          <w:b/>
          <w:bCs/>
        </w:rPr>
        <w:t xml:space="preserve">liée</w:t>
      </w:r>
      <w:r>
        <w:t xml:space="preserve"> </w:t>
      </w:r>
      <w:r>
        <w:t xml:space="preserve">à la nouvelle facture d’achat.</w:t>
      </w:r>
    </w:p>
    <w:bookmarkEnd w:id="169"/>
    <w:bookmarkStart w:id="170" w:name="chaînage-avec-une-facture-dachat"/>
    <w:p>
      <w:pPr>
        <w:pStyle w:val="Heading3"/>
      </w:pPr>
      <w:r>
        <w:t xml:space="preserve">Chaînage avec une facture d’achat</w:t>
      </w:r>
    </w:p>
    <w:p>
      <w:pPr>
        <w:pStyle w:val="FirstParagraph"/>
      </w:pPr>
      <w:r>
        <w:t xml:space="preserve">Le bouton</w:t>
      </w:r>
      <w:r>
        <w:t xml:space="preserve"> </w:t>
      </w:r>
      <w:r>
        <w:rPr>
          <w:b/>
          <w:bCs/>
        </w:rPr>
        <w:t xml:space="preserve">🔗</w:t>
      </w:r>
      <w:r>
        <w:t xml:space="preserve"> </w:t>
      </w:r>
      <w:r>
        <w:t xml:space="preserve">de la liste associe manuellement une commande à une facture d’achat existante (le chaînage automatique via</w:t>
      </w:r>
      <w:r>
        <w:t xml:space="preserve"> </w:t>
      </w:r>
      <w:r>
        <w:rPr>
          <w:b/>
          <w:bCs/>
        </w:rPr>
        <w:t xml:space="preserve">🧾 → Facture d’achat</w:t>
      </w:r>
      <w:r>
        <w:t xml:space="preserve"> </w:t>
      </w:r>
      <w:r>
        <w:t xml:space="preserve">ci-dessus produit le même lien). Ce chaînage est</w:t>
      </w:r>
      <w:r>
        <w:t xml:space="preserve"> </w:t>
      </w:r>
      <w:r>
        <w:rPr>
          <w:b/>
          <w:bCs/>
        </w:rPr>
        <w:t xml:space="preserve">non bloquant</w:t>
      </w:r>
      <w:r>
        <w:t xml:space="preserve"> </w:t>
      </w:r>
      <w:r>
        <w:t xml:space="preserve">: facultatif, modifiable à tout moment, sans incidence sur le scellement. Il aide à suivre le cycle commande → réception → facturation, sans imposer de contrainte d’ordre ni verrouiller les documents.</w:t>
      </w:r>
    </w:p>
    <w:bookmarkEnd w:id="170"/>
    <w:bookmarkEnd w:id="171"/>
    <w:bookmarkStart w:id="177"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bookmarkStart w:id="175" w:name="éditeur-de-facture-dachat-v3.2.8"/>
    <w:p>
      <w:pPr>
        <w:pStyle w:val="Heading3"/>
      </w:pPr>
      <w:r>
        <w:t xml:space="preserve">Éditeur de facture d’achat (v3.2.8)</w:t>
      </w:r>
    </w:p>
    <w:p>
      <w:pPr>
        <w:pStyle w:val="FirstParagraph"/>
      </w:pPr>
      <w:r>
        <w:t xml:space="preserve">La saisie se fait elle aussi dans l’éditeur WYSIWYG, sur une page A4 reprenant la structure de la facture reçue :</w:t>
      </w:r>
    </w:p>
    <w:p>
      <w:pPr>
        <w:pStyle w:val="CaptionedFigure"/>
      </w:pPr>
      <w:r>
        <w:drawing>
          <wp:inline>
            <wp:extent cx="5334000" cy="3319106"/>
            <wp:effectExtent b="0" l="0" r="0" t="0"/>
            <wp:docPr descr="Éditeur de facture d’achat" title="" id="173" name="Picture"/>
            <a:graphic>
              <a:graphicData uri="http://schemas.openxmlformats.org/drawingml/2006/picture">
                <pic:pic>
                  <pic:nvPicPr>
                    <pic:cNvPr descr="screenshots/28-facture-achat-editeur.png" id="174" name="Picture"/>
                    <pic:cNvPicPr>
                      <a:picLocks noChangeArrowheads="1" noChangeAspect="1"/>
                    </pic:cNvPicPr>
                  </pic:nvPicPr>
                  <pic:blipFill>
                    <a:blip r:embed="rId172"/>
                    <a:stretch>
                      <a:fillRect/>
                    </a:stretch>
                  </pic:blipFill>
                  <pic:spPr bwMode="auto">
                    <a:xfrm>
                      <a:off x="0" y="0"/>
                      <a:ext cx="5334000" cy="3319106"/>
                    </a:xfrm>
                    <a:prstGeom prst="rect">
                      <a:avLst/>
                    </a:prstGeom>
                    <a:noFill/>
                    <a:ln w="9525">
                      <a:noFill/>
                      <a:headEnd/>
                      <a:tailEnd/>
                    </a:ln>
                  </pic:spPr>
                </pic:pic>
              </a:graphicData>
            </a:graphic>
          </wp:inline>
        </w:drawing>
      </w:r>
    </w:p>
    <w:p>
      <w:pPr>
        <w:pStyle w:val="ImageCaption"/>
      </w:pPr>
      <w:r>
        <w:t xml:space="preserve">Éditeur de facture d’achat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Annuaire ou nom libre</w:t>
            </w:r>
          </w:p>
        </w:tc>
      </w:tr>
      <w:tr>
        <w:tc>
          <w:tcPr/>
          <w:p>
            <w:pPr>
              <w:pStyle w:val="Compact"/>
            </w:pPr>
            <w:r>
              <w:t xml:space="preserve">N° facture fournisseur *</w:t>
            </w:r>
          </w:p>
        </w:tc>
        <w:tc>
          <w:tcPr/>
          <w:p>
            <w:pPr>
              <w:pStyle w:val="Compact"/>
            </w:pPr>
            <w:r>
              <w:t xml:space="preserve">Le numéro</w:t>
            </w:r>
            <w:r>
              <w:t xml:space="preserve"> </w:t>
            </w:r>
            <w:r>
              <w:rPr>
                <w:b/>
                <w:bCs/>
              </w:rPr>
              <w:t xml:space="preserve">figurant sur la facture reçue</w:t>
            </w:r>
            <w:r>
              <w:t xml:space="preserve"> </w:t>
            </w:r>
            <w:r>
              <w:t xml:space="preserve">(saisie libre — pas de numérotation FacturPro)</w:t>
            </w:r>
          </w:p>
        </w:tc>
      </w:tr>
      <w:tr>
        <w:tc>
          <w:tcPr/>
          <w:p>
            <w:pPr>
              <w:pStyle w:val="Compact"/>
            </w:pPr>
            <w:r>
              <w:t xml:space="preserve">Date de facture * / Échéance</w:t>
            </w:r>
          </w:p>
        </w:tc>
        <w:tc>
          <w:tcPr/>
          <w:p>
            <w:pPr>
              <w:pStyle w:val="Compact"/>
            </w:pPr>
            <w:r>
              <w:t xml:space="preserve">Dates du document reçu</w:t>
            </w:r>
          </w:p>
        </w:tc>
      </w:tr>
      <w:tr>
        <w:tc>
          <w:tcPr/>
          <w:p>
            <w:pPr>
              <w:pStyle w:val="Compact"/>
            </w:pPr>
            <w:r>
              <w:t xml:space="preserve">Compte de charge</w:t>
            </w:r>
          </w:p>
        </w:tc>
        <w:tc>
          <w:tcPr/>
          <w:p>
            <w:pPr>
              <w:pStyle w:val="Compact"/>
            </w:pPr>
            <w:r>
              <w:t xml:space="preserve">Compte 6xx imputé au débit (606 par défaut)</w:t>
            </w:r>
          </w:p>
        </w:tc>
      </w:tr>
      <w:tr>
        <w:tc>
          <w:tcPr/>
          <w:p>
            <w:pPr>
              <w:pStyle w:val="Compact"/>
            </w:pPr>
            <w:r>
              <w:t xml:space="preserve">Lignes</w:t>
            </w:r>
          </w:p>
        </w:tc>
        <w:tc>
          <w:tcPr/>
          <w:p>
            <w:pPr>
              <w:pStyle w:val="Compact"/>
            </w:pPr>
            <w:r>
              <w:t xml:space="preserve">Détail de la facture — les montants HT / TVA / TTC sont calculés depuis les lignes</w:t>
            </w:r>
          </w:p>
        </w:tc>
      </w:tr>
    </w:tbl>
    <w:p>
      <w:pPr>
        <w:pStyle w:val="BodyText"/>
      </w:pPr>
      <w:r>
        <w:t xml:space="preserve">L’éditeur ne propose</w:t>
      </w:r>
      <w:r>
        <w:t xml:space="preserve"> </w:t>
      </w:r>
      <w:r>
        <w:rPr>
          <w:b/>
          <w:bCs/>
        </w:rPr>
        <w:t xml:space="preserve">ni aperçu ni impression PDF</w:t>
      </w:r>
      <w:r>
        <w:t xml:space="preserve"> </w:t>
      </w:r>
      <w:r>
        <w:t xml:space="preserve">: le document de référence est celui émis par le fournisseur, FacturPro ne fait que l’enregistrer.</w:t>
      </w:r>
    </w:p>
    <w:bookmarkEnd w:id="175"/>
    <w:bookmarkStart w:id="176" w:name="comptabilité-automatique"/>
    <w:p>
      <w:pPr>
        <w:pStyle w:val="Heading3"/>
      </w:pPr>
      <w:r>
        <w:t xml:space="preserve">Comptabilité automatique</w:t>
      </w:r>
    </w:p>
    <w:p>
      <w:pPr>
        <w:pStyle w:val="Compact"/>
        <w:numPr>
          <w:ilvl w:val="0"/>
          <w:numId w:val="1021"/>
        </w:numPr>
      </w:pPr>
      <w:r>
        <w:t xml:space="preserve">L’</w:t>
      </w:r>
      <w:r>
        <w:rPr>
          <w:b/>
          <w:bCs/>
        </w:rPr>
        <w:t xml:space="preserve">enregistrement</w:t>
      </w:r>
      <w:r>
        <w:t xml:space="preserve"> </w:t>
      </w:r>
      <w:r>
        <w:t xml:space="preserve">génère les écritures FEC du journal</w:t>
      </w:r>
      <w:r>
        <w:t xml:space="preserve"> </w:t>
      </w:r>
      <w:r>
        <w:rPr>
          <w:b/>
          <w:bCs/>
        </w:rPr>
        <w:t xml:space="preserve">AC</w:t>
      </w:r>
      <w:r>
        <w:t xml:space="preserve"> </w:t>
      </w:r>
      <w:r>
        <w:t xml:space="preserve">(compte 401 au crédit, charge 6xx au débit, TVA déductible 44566 au débit) et alimente la déclaration de TVA déductible du mois correspondant.</w:t>
      </w:r>
    </w:p>
    <w:p>
      <w:pPr>
        <w:pStyle w:val="Compact"/>
        <w:numPr>
          <w:ilvl w:val="0"/>
          <w:numId w:val="1021"/>
        </w:numPr>
      </w:pPr>
      <w:r>
        <w:t xml:space="preserve">Une facture</w:t>
      </w:r>
      <w:r>
        <w:t xml:space="preserve"> </w:t>
      </w:r>
      <w:r>
        <w:rPr>
          <w:b/>
          <w:bCs/>
        </w:rPr>
        <w:t xml:space="preserve">reçue</w:t>
      </w:r>
      <w:r>
        <w:t xml:space="preserve"> </w:t>
      </w:r>
      <w:r>
        <w:t xml:space="preserve">reste</w:t>
      </w:r>
      <w:r>
        <w:t xml:space="preserve"> </w:t>
      </w:r>
      <w:r>
        <w:rPr>
          <w:b/>
          <w:bCs/>
        </w:rPr>
        <w:t xml:space="preserve">modifiable</w:t>
      </w:r>
      <w:r>
        <w:t xml:space="preserve"> </w:t>
      </w:r>
      <w:r>
        <w:t xml:space="preserve">: la modification régénère les écritures FEC et resynchronise la TVA déductible (y compris en cas de changement de mois). C’est permis côté achats — contrairement aux documents émis, aucune obligation légale de verrouillage ne s’applique aux documents reçus.</w:t>
      </w:r>
    </w:p>
    <w:p>
      <w:pPr>
        <w:pStyle w:val="Compact"/>
        <w:numPr>
          <w:ilvl w:val="0"/>
          <w:numId w:val="1021"/>
        </w:numPr>
      </w:pPr>
      <w:r>
        <w:rPr>
          <w:b/>
          <w:bCs/>
        </w:rPr>
        <w:t xml:space="preserve">💳 Payer</w:t>
      </w:r>
      <w:r>
        <w:t xml:space="preserve"> </w:t>
      </w:r>
      <w:r>
        <w:t xml:space="preserve">(dans l’éditeur ou la liste) écrit les écritures de règlement (journal</w:t>
      </w:r>
      <w:r>
        <w:t xml:space="preserve"> </w:t>
      </w:r>
      <w:r>
        <w:rPr>
          <w:b/>
          <w:bCs/>
        </w:rPr>
        <w:t xml:space="preserve">BQ</w:t>
      </w:r>
      <w:r>
        <w:t xml:space="preserve">). Une facture</w:t>
      </w:r>
      <w:r>
        <w:t xml:space="preserve"> </w:t>
      </w:r>
      <w:r>
        <w:rPr>
          <w:b/>
          <w:bCs/>
        </w:rPr>
        <w:t xml:space="preserve">payée</w:t>
      </w:r>
      <w:r>
        <w:t xml:space="preserve"> </w:t>
      </w:r>
      <w:r>
        <w:t xml:space="preserve">passe en lecture seule.</w:t>
      </w:r>
    </w:p>
    <w:p>
      <w:pPr>
        <w:pStyle w:val="Compact"/>
        <w:numPr>
          <w:ilvl w:val="0"/>
          <w:numId w:val="1021"/>
        </w:numPr>
      </w:pPr>
      <w:r>
        <w:rPr>
          <w:b/>
          <w:bCs/>
        </w:rPr>
        <w:t xml:space="preserve">Import CSV</w:t>
      </w:r>
      <w:r>
        <w:t xml:space="preserve"> </w:t>
      </w:r>
      <w:r>
        <w:t xml:space="preserve">permet d’importer un lot de factures au format FEC (lignes du compte 401).</w:t>
      </w:r>
    </w:p>
    <w:p>
      <w:pPr>
        <w:pStyle w:val="Compact"/>
        <w:numPr>
          <w:ilvl w:val="0"/>
          <w:numId w:val="1021"/>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176"/>
    <w:bookmarkEnd w:id="177"/>
    <w:bookmarkEnd w:id="178"/>
    <w:bookmarkStart w:id="189" w:name="statistiques"/>
    <w:p>
      <w:pPr>
        <w:pStyle w:val="Heading1"/>
      </w:pPr>
      <w:r>
        <w:t xml:space="preserve">Statistiques</w:t>
      </w:r>
    </w:p>
    <w:p>
      <w:pPr>
        <w:pStyle w:val="CaptionedFigure"/>
      </w:pPr>
      <w:r>
        <w:drawing>
          <wp:inline>
            <wp:extent cx="5334000" cy="2637413"/>
            <wp:effectExtent b="0" l="0" r="0" t="0"/>
            <wp:docPr descr="Statistiques KPIs" title="" id="180" name="Picture"/>
            <a:graphic>
              <a:graphicData uri="http://schemas.openxmlformats.org/drawingml/2006/picture">
                <pic:pic>
                  <pic:nvPicPr>
                    <pic:cNvPr descr="screenshots/08-stats-kpis.png" id="181" name="Picture"/>
                    <pic:cNvPicPr>
                      <a:picLocks noChangeArrowheads="1" noChangeAspect="1"/>
                    </pic:cNvPicPr>
                  </pic:nvPicPr>
                  <pic:blipFill>
                    <a:blip r:embed="rId17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82"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82"/>
    <w:bookmarkStart w:id="183"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83"/>
    <w:bookmarkStart w:id="184" w:name="évolution-du-ca"/>
    <w:p>
      <w:pPr>
        <w:pStyle w:val="Heading2"/>
      </w:pPr>
      <w:r>
        <w:t xml:space="preserve">Évolution du CA</w:t>
      </w:r>
    </w:p>
    <w:p>
      <w:pPr>
        <w:pStyle w:val="FirstParagraph"/>
      </w:pPr>
      <w:r>
        <w:t xml:space="preserve">Graphique en barres sur 12 mois glissants : CA facturé vs CA encaissé.</w:t>
      </w:r>
    </w:p>
    <w:bookmarkEnd w:id="184"/>
    <w:bookmarkStart w:id="185"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85"/>
    <w:bookmarkStart w:id="186" w:name="top-clients-et-top-articles"/>
    <w:p>
      <w:pPr>
        <w:pStyle w:val="Heading2"/>
      </w:pPr>
      <w:r>
        <w:t xml:space="preserve">Top clients et top articles</w:t>
      </w:r>
    </w:p>
    <w:p>
      <w:pPr>
        <w:pStyle w:val="FirstParagraph"/>
      </w:pPr>
      <w:r>
        <w:t xml:space="preserve">Top 10 clients par CA HT et top 10 articles sur l’année.</w:t>
      </w:r>
    </w:p>
    <w:bookmarkEnd w:id="186"/>
    <w:bookmarkStart w:id="187" w:name="trésorerie-et-dso"/>
    <w:p>
      <w:pPr>
        <w:pStyle w:val="Heading2"/>
      </w:pPr>
      <w:r>
        <w:t xml:space="preserve">Trésorerie et DSO</w:t>
      </w:r>
    </w:p>
    <w:p>
      <w:pPr>
        <w:pStyle w:val="Compact"/>
        <w:numPr>
          <w:ilvl w:val="0"/>
          <w:numId w:val="1022"/>
        </w:numPr>
      </w:pPr>
      <w:r>
        <w:rPr>
          <w:b/>
          <w:bCs/>
        </w:rPr>
        <w:t xml:space="preserve">DSO</w:t>
      </w:r>
      <w:r>
        <w:t xml:space="preserve"> </w:t>
      </w:r>
      <w:r>
        <w:t xml:space="preserve">(Days Sales Outstanding) : délai moyen de paiement en jours.</w:t>
      </w:r>
    </w:p>
    <w:p>
      <w:pPr>
        <w:pStyle w:val="Compact"/>
        <w:numPr>
          <w:ilvl w:val="0"/>
          <w:numId w:val="1022"/>
        </w:numPr>
      </w:pPr>
      <w:r>
        <w:rPr>
          <w:b/>
          <w:bCs/>
        </w:rPr>
        <w:t xml:space="preserve">Prévisions</w:t>
      </w:r>
      <w:r>
        <w:t xml:space="preserve"> </w:t>
      </w:r>
      <w:r>
        <w:t xml:space="preserve">: encaissements attendus groupés par semaine sur 90 jours.</w:t>
      </w:r>
    </w:p>
    <w:bookmarkEnd w:id="187"/>
    <w:bookmarkStart w:id="188"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88"/>
    <w:bookmarkEnd w:id="189"/>
    <w:bookmarkStart w:id="196" w:name="déclaration-tva-ca3"/>
    <w:p>
      <w:pPr>
        <w:pStyle w:val="Heading1"/>
      </w:pPr>
      <w:r>
        <w:t xml:space="preserve">Déclaration TVA (CA3)</w:t>
      </w:r>
    </w:p>
    <w:p>
      <w:pPr>
        <w:pStyle w:val="CaptionedFigure"/>
      </w:pPr>
      <w:r>
        <w:drawing>
          <wp:inline>
            <wp:extent cx="5334000" cy="2637413"/>
            <wp:effectExtent b="0" l="0" r="0" t="0"/>
            <wp:docPr descr="Déclaration TVA" title="" id="191" name="Picture"/>
            <a:graphic>
              <a:graphicData uri="http://schemas.openxmlformats.org/drawingml/2006/picture">
                <pic:pic>
                  <pic:nvPicPr>
                    <pic:cNvPr descr="screenshots/09-decl-tva.png" id="192" name="Picture"/>
                    <pic:cNvPicPr>
                      <a:picLocks noChangeArrowheads="1" noChangeAspect="1"/>
                    </pic:cNvPicPr>
                  </pic:nvPicPr>
                  <pic:blipFill>
                    <a:blip r:embed="rId190"/>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93"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93"/>
    <w:bookmarkStart w:id="194"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94"/>
    <w:bookmarkStart w:id="195"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95"/>
    <w:bookmarkEnd w:id="196"/>
    <w:bookmarkStart w:id="204" w:name="exercices-comptables"/>
    <w:p>
      <w:pPr>
        <w:pStyle w:val="Heading1"/>
      </w:pPr>
      <w:r>
        <w:t xml:space="preserve">Exercices comptables</w:t>
      </w:r>
    </w:p>
    <w:p>
      <w:pPr>
        <w:pStyle w:val="CaptionedFigure"/>
      </w:pPr>
      <w:r>
        <w:drawing>
          <wp:inline>
            <wp:extent cx="5334000" cy="2637413"/>
            <wp:effectExtent b="0" l="0" r="0" t="0"/>
            <wp:docPr descr="Exercices comptables" title="" id="198" name="Picture"/>
            <a:graphic>
              <a:graphicData uri="http://schemas.openxmlformats.org/drawingml/2006/picture">
                <pic:pic>
                  <pic:nvPicPr>
                    <pic:cNvPr descr="screenshots/10-exercices.png" id="199" name="Picture"/>
                    <pic:cNvPicPr>
                      <a:picLocks noChangeArrowheads="1" noChangeAspect="1"/>
                    </pic:cNvPicPr>
                  </pic:nvPicPr>
                  <pic:blipFill>
                    <a:blip r:embed="rId19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200" w:name="ouvrir-un-exercice"/>
    <w:p>
      <w:pPr>
        <w:pStyle w:val="Heading2"/>
      </w:pPr>
      <w:r>
        <w:t xml:space="preserve">Ouvrir un exercice</w:t>
      </w:r>
    </w:p>
    <w:p>
      <w:pPr>
        <w:pStyle w:val="Compact"/>
        <w:numPr>
          <w:ilvl w:val="0"/>
          <w:numId w:val="1023"/>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23"/>
        </w:numPr>
      </w:pPr>
      <w:r>
        <w:t xml:space="preserve">Sélectionnez l’</w:t>
      </w:r>
      <w:r>
        <w:rPr>
          <w:b/>
          <w:bCs/>
        </w:rPr>
        <w:t xml:space="preserve">année</w:t>
      </w:r>
      <w:r>
        <w:t xml:space="preserve">.</w:t>
      </w:r>
    </w:p>
    <w:p>
      <w:pPr>
        <w:pStyle w:val="Compact"/>
        <w:numPr>
          <w:ilvl w:val="0"/>
          <w:numId w:val="1023"/>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200"/>
    <w:bookmarkStart w:id="201" w:name="clôturer-un-exercice"/>
    <w:p>
      <w:pPr>
        <w:pStyle w:val="Heading2"/>
      </w:pPr>
      <w:r>
        <w:t xml:space="preserve">Clôturer un exercice</w:t>
      </w:r>
    </w:p>
    <w:p>
      <w:pPr>
        <w:pStyle w:val="Compact"/>
        <w:numPr>
          <w:ilvl w:val="0"/>
          <w:numId w:val="1024"/>
        </w:numPr>
      </w:pPr>
      <w:r>
        <w:t xml:space="preserve">Cliquez</w:t>
      </w:r>
      <w:r>
        <w:t xml:space="preserve"> </w:t>
      </w:r>
      <w:r>
        <w:rPr>
          <w:b/>
          <w:bCs/>
        </w:rPr>
        <w:t xml:space="preserve">🔒 Clôturer</w:t>
      </w:r>
      <w:r>
        <w:t xml:space="preserve"> </w:t>
      </w:r>
      <w:r>
        <w:t xml:space="preserve">sur la ligne de l’exercice.</w:t>
      </w:r>
    </w:p>
    <w:p>
      <w:pPr>
        <w:pStyle w:val="Compact"/>
        <w:numPr>
          <w:ilvl w:val="0"/>
          <w:numId w:val="1024"/>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4"/>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5"/>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5"/>
        </w:numPr>
      </w:pPr>
      <w:r>
        <w:t xml:space="preserve">Enregistre la date, le nombre d’écritures et l’empreinte.</w:t>
      </w:r>
    </w:p>
    <w:p>
      <w:pPr>
        <w:pStyle w:val="Compact"/>
        <w:numPr>
          <w:ilvl w:val="0"/>
          <w:numId w:val="1025"/>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201"/>
    <w:bookmarkStart w:id="202"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202"/>
    <w:bookmarkStart w:id="203"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6"/>
        </w:numPr>
      </w:pPr>
      <w:r>
        <w:t xml:space="preserve">Raison sociale, SIRET</w:t>
      </w:r>
    </w:p>
    <w:p>
      <w:pPr>
        <w:pStyle w:val="Compact"/>
        <w:numPr>
          <w:ilvl w:val="0"/>
          <w:numId w:val="1026"/>
        </w:numPr>
      </w:pPr>
      <w:r>
        <w:t xml:space="preserve">Période fiscale</w:t>
      </w:r>
    </w:p>
    <w:p>
      <w:pPr>
        <w:pStyle w:val="Compact"/>
        <w:numPr>
          <w:ilvl w:val="0"/>
          <w:numId w:val="1026"/>
        </w:numPr>
      </w:pPr>
      <w:r>
        <w:t xml:space="preserve">Date et heure de clôture</w:t>
      </w:r>
    </w:p>
    <w:p>
      <w:pPr>
        <w:pStyle w:val="Compact"/>
        <w:numPr>
          <w:ilvl w:val="0"/>
          <w:numId w:val="1026"/>
        </w:numPr>
      </w:pPr>
      <w:r>
        <w:t xml:space="preserve">Nombre d’écritures comptables</w:t>
      </w:r>
    </w:p>
    <w:p>
      <w:pPr>
        <w:pStyle w:val="Compact"/>
        <w:numPr>
          <w:ilvl w:val="0"/>
          <w:numId w:val="1026"/>
        </w:numPr>
      </w:pPr>
      <w:r>
        <w:rPr>
          <w:b/>
          <w:bCs/>
        </w:rPr>
        <w:t xml:space="preserve">Empreinte SHA-256</w:t>
      </w:r>
      <w:r>
        <w:t xml:space="preserve"> </w:t>
      </w:r>
      <w:r>
        <w:t xml:space="preserve">du FEC (preuve d’intégrité opposable)</w:t>
      </w:r>
    </w:p>
    <w:p>
      <w:pPr>
        <w:pStyle w:val="Compact"/>
        <w:numPr>
          <w:ilvl w:val="0"/>
          <w:numId w:val="1026"/>
        </w:numPr>
      </w:pPr>
      <w:r>
        <w:t xml:space="preserve">Référence légale : art. 88 loi 2015-1785 + art. 286-I-3° CGI</w:t>
      </w:r>
    </w:p>
    <w:p>
      <w:pPr>
        <w:pStyle w:val="Compact"/>
        <w:numPr>
          <w:ilvl w:val="0"/>
          <w:numId w:val="1026"/>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203"/>
    <w:bookmarkEnd w:id="204"/>
    <w:bookmarkStart w:id="210" w:name="lettrage"/>
    <w:p>
      <w:pPr>
        <w:pStyle w:val="Heading1"/>
      </w:pPr>
      <w:r>
        <w:t xml:space="preserve">Lettrage</w:t>
      </w:r>
    </w:p>
    <w:p>
      <w:pPr>
        <w:pStyle w:val="CaptionedFigure"/>
      </w:pPr>
      <w:r>
        <w:drawing>
          <wp:inline>
            <wp:extent cx="5334000" cy="2637413"/>
            <wp:effectExtent b="0" l="0" r="0" t="0"/>
            <wp:docPr descr="Lettrage comptable" title="" id="206" name="Picture"/>
            <a:graphic>
              <a:graphicData uri="http://schemas.openxmlformats.org/drawingml/2006/picture">
                <pic:pic>
                  <pic:nvPicPr>
                    <pic:cNvPr descr="screenshots/11-lettrage.png" id="207" name="Picture"/>
                    <pic:cNvPicPr>
                      <a:picLocks noChangeArrowheads="1" noChangeAspect="1"/>
                    </pic:cNvPicPr>
                  </pic:nvPicPr>
                  <pic:blipFill>
                    <a:blip r:embed="rId20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208"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208"/>
    <w:bookmarkStart w:id="209" w:name="lettrage-manuel"/>
    <w:p>
      <w:pPr>
        <w:pStyle w:val="Heading2"/>
      </w:pPr>
      <w:r>
        <w:t xml:space="preserve">Lettrage manuel</w:t>
      </w:r>
    </w:p>
    <w:p>
      <w:pPr>
        <w:pStyle w:val="Compact"/>
        <w:numPr>
          <w:ilvl w:val="0"/>
          <w:numId w:val="1027"/>
        </w:numPr>
      </w:pPr>
      <w:r>
        <w:t xml:space="preserve">Sélectionnez un client dans le filtre.</w:t>
      </w:r>
    </w:p>
    <w:p>
      <w:pPr>
        <w:pStyle w:val="Compact"/>
        <w:numPr>
          <w:ilvl w:val="0"/>
          <w:numId w:val="1027"/>
        </w:numPr>
      </w:pPr>
      <w:r>
        <w:t xml:space="preserve">Cochez les lignes à rapprocher (débit = crédit à 0,01 € près requis).</w:t>
      </w:r>
    </w:p>
    <w:p>
      <w:pPr>
        <w:pStyle w:val="Compact"/>
        <w:numPr>
          <w:ilvl w:val="0"/>
          <w:numId w:val="1027"/>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7"/>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209"/>
    <w:bookmarkEnd w:id="210"/>
    <w:bookmarkStart w:id="214" w:name="journal-daudit"/>
    <w:p>
      <w:pPr>
        <w:pStyle w:val="Heading1"/>
      </w:pPr>
      <w:r>
        <w:t xml:space="preserve">Journal d’audit</w:t>
      </w:r>
    </w:p>
    <w:p>
      <w:pPr>
        <w:pStyle w:val="CaptionedFigure"/>
      </w:pPr>
      <w:r>
        <w:drawing>
          <wp:inline>
            <wp:extent cx="5334000" cy="2637413"/>
            <wp:effectExtent b="0" l="0" r="0" t="0"/>
            <wp:docPr descr="Journal d’audit" title="" id="212" name="Picture"/>
            <a:graphic>
              <a:graphicData uri="http://schemas.openxmlformats.org/drawingml/2006/picture">
                <pic:pic>
                  <pic:nvPicPr>
                    <pic:cNvPr descr="screenshots/18-audit.png" id="213" name="Picture"/>
                    <pic:cNvPicPr>
                      <a:picLocks noChangeArrowheads="1" noChangeAspect="1"/>
                    </pic:cNvPicPr>
                  </pic:nvPicPr>
                  <pic:blipFill>
                    <a:blip r:embed="rId2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214"/>
    <w:bookmarkStart w:id="218" w:name="archives"/>
    <w:p>
      <w:pPr>
        <w:pStyle w:val="Heading1"/>
      </w:pPr>
      <w:r>
        <w:t xml:space="preserve">Archives</w:t>
      </w:r>
    </w:p>
    <w:p>
      <w:pPr>
        <w:pStyle w:val="CaptionedFigure"/>
      </w:pPr>
      <w:r>
        <w:drawing>
          <wp:inline>
            <wp:extent cx="5334000" cy="2637413"/>
            <wp:effectExtent b="0" l="0" r="0" t="0"/>
            <wp:docPr descr="Archives" title="" id="216" name="Picture"/>
            <a:graphic>
              <a:graphicData uri="http://schemas.openxmlformats.org/drawingml/2006/picture">
                <pic:pic>
                  <pic:nvPicPr>
                    <pic:cNvPr descr="screenshots/12-archives.png" id="217" name="Picture"/>
                    <pic:cNvPicPr>
                      <a:picLocks noChangeArrowheads="1" noChangeAspect="1"/>
                    </pic:cNvPicPr>
                  </pic:nvPicPr>
                  <pic:blipFill>
                    <a:blip r:embed="rId21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8"/>
        </w:numPr>
      </w:pPr>
      <w:r>
        <w:t xml:space="preserve">Chaque document émis est archivé automatiquement avec un</w:t>
      </w:r>
      <w:r>
        <w:t xml:space="preserve"> </w:t>
      </w:r>
      <w:r>
        <w:rPr>
          <w:b/>
          <w:bCs/>
        </w:rPr>
        <w:t xml:space="preserve">hash SHA-256</w:t>
      </w:r>
      <w:r>
        <w:t xml:space="preserve">.</w:t>
      </w:r>
    </w:p>
    <w:p>
      <w:pPr>
        <w:pStyle w:val="Compact"/>
        <w:numPr>
          <w:ilvl w:val="0"/>
          <w:numId w:val="1028"/>
        </w:numPr>
      </w:pPr>
      <w:r>
        <w:t xml:space="preserve">Conservation légale :</w:t>
      </w:r>
      <w:r>
        <w:t xml:space="preserve"> </w:t>
      </w:r>
      <w:r>
        <w:rPr>
          <w:b/>
          <w:bCs/>
        </w:rPr>
        <w:t xml:space="preserve">10 ans</w:t>
      </w:r>
      <w:r>
        <w:t xml:space="preserve">.</w:t>
      </w:r>
    </w:p>
    <w:p>
      <w:pPr>
        <w:pStyle w:val="Compact"/>
        <w:numPr>
          <w:ilvl w:val="0"/>
          <w:numId w:val="1028"/>
        </w:numPr>
      </w:pPr>
      <w:r>
        <w:t xml:space="preserve">Lecture seule — modification et suppression impossibles (trigger DB).</w:t>
      </w:r>
    </w:p>
    <w:p>
      <w:r>
        <w:pict>
          <v:rect style="width:0;height:1.5pt" o:hralign="center" o:hrstd="t" o:hr="t"/>
        </w:pict>
      </w:r>
    </w:p>
    <w:bookmarkEnd w:id="218"/>
    <w:bookmarkStart w:id="222"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219" w:name="comment-ça-fonctionne"/>
    <w:p>
      <w:pPr>
        <w:pStyle w:val="Heading2"/>
      </w:pPr>
      <w:r>
        <w:t xml:space="preserve">Comment ça fonctionne</w:t>
      </w:r>
    </w:p>
    <w:p>
      <w:pPr>
        <w:pStyle w:val="Compact"/>
        <w:numPr>
          <w:ilvl w:val="0"/>
          <w:numId w:val="1029"/>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9"/>
        </w:numPr>
      </w:pPr>
      <w:r>
        <w:t xml:space="preserve">Pour chaque facture, il vérifie qu’aucune relance n’a été envoyée dans les N derniers jours.</w:t>
      </w:r>
    </w:p>
    <w:p>
      <w:pPr>
        <w:pStyle w:val="Compact"/>
        <w:numPr>
          <w:ilvl w:val="0"/>
          <w:numId w:val="1029"/>
        </w:numPr>
      </w:pPr>
      <w:r>
        <w:t xml:space="preserve">Un email de relance est envoyé au client.</w:t>
      </w:r>
    </w:p>
    <w:p>
      <w:pPr>
        <w:pStyle w:val="Compact"/>
        <w:numPr>
          <w:ilvl w:val="0"/>
          <w:numId w:val="1029"/>
        </w:numPr>
      </w:pPr>
      <w:r>
        <w:t xml:space="preserve">La date de dernière relance et le compteur sont mis à jour sur la facture.</w:t>
      </w:r>
    </w:p>
    <w:bookmarkEnd w:id="219"/>
    <w:bookmarkStart w:id="220"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220"/>
    <w:bookmarkStart w:id="221"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221"/>
    <w:bookmarkEnd w:id="222"/>
    <w:bookmarkStart w:id="230" w:name="gestion-des-utilisateurs"/>
    <w:p>
      <w:pPr>
        <w:pStyle w:val="Heading1"/>
      </w:pPr>
      <w:r>
        <w:t xml:space="preserve">Gestion des utilisateurs</w:t>
      </w:r>
    </w:p>
    <w:bookmarkStart w:id="223"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223"/>
    <w:bookmarkStart w:id="224"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224"/>
    <w:bookmarkStart w:id="229"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bookmarkStart w:id="228" w:name="gestion-des-sociétés"/>
    <w:p>
      <w:pPr>
        <w:pStyle w:val="Heading3"/>
      </w:pPr>
      <w:r>
        <w:t xml:space="preserve">Gestion des sociétés</w:t>
      </w:r>
    </w:p>
    <w:p>
      <w:pPr>
        <w:pStyle w:val="CaptionedFigure"/>
      </w:pPr>
      <w:r>
        <w:drawing>
          <wp:inline>
            <wp:extent cx="5334000" cy="2637413"/>
            <wp:effectExtent b="0" l="0" r="0" t="0"/>
            <wp:docPr descr="Gestion des sociétés" title="" id="226" name="Picture"/>
            <a:graphic>
              <a:graphicData uri="http://schemas.openxmlformats.org/drawingml/2006/picture">
                <pic:pic>
                  <pic:nvPicPr>
                    <pic:cNvPr descr="screenshots/25-societes-gestion.png" id="227" name="Picture"/>
                    <pic:cNvPicPr>
                      <a:picLocks noChangeArrowheads="1" noChangeAspect="1"/>
                    </pic:cNvPicPr>
                  </pic:nvPicPr>
                  <pic:blipFill>
                    <a:blip r:embed="rId22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Effet</w:t>
            </w:r>
          </w:p>
        </w:tc>
      </w:tr>
      <w:tr>
        <w:tc>
          <w:tcPr/>
          <w:p>
            <w:pPr>
              <w:pStyle w:val="Compact"/>
            </w:pPr>
            <w:r>
              <w:rPr>
                <w:b/>
                <w:bCs/>
              </w:rPr>
              <w:t xml:space="preserve">Accéder</w:t>
            </w:r>
          </w:p>
        </w:tc>
        <w:tc>
          <w:tcPr/>
          <w:p>
            <w:pPr>
              <w:pStyle w:val="Compact"/>
            </w:pPr>
            <w:r>
              <w:t xml:space="preserve">Bascule l’espace de travail courant vers cette société</w:t>
            </w:r>
          </w:p>
        </w:tc>
      </w:tr>
      <w:tr>
        <w:tc>
          <w:tcPr/>
          <w:p>
            <w:pPr>
              <w:pStyle w:val="Compact"/>
            </w:pPr>
            <w:r>
              <w:rPr>
                <w:b/>
                <w:bCs/>
              </w:rPr>
              <w:t xml:space="preserve">Modifier</w:t>
            </w:r>
          </w:p>
        </w:tc>
        <w:tc>
          <w:tcPr/>
          <w:p>
            <w:pPr>
              <w:pStyle w:val="Compact"/>
            </w:pPr>
            <w:r>
              <w:t xml:space="preserve">Édite raison sociale, forme juridique, SIRET, TVA intracom, adresse, email, téléphone</w:t>
            </w:r>
          </w:p>
        </w:tc>
      </w:tr>
      <w:tr>
        <w:tc>
          <w:tcPr/>
          <w:p>
            <w:pPr>
              <w:pStyle w:val="Compact"/>
            </w:pPr>
            <w:r>
              <w:rPr>
                <w:b/>
                <w:bCs/>
              </w:rPr>
              <w:t xml:space="preserve">+ Nouvelle société</w:t>
            </w:r>
          </w:p>
        </w:tc>
        <w:tc>
          <w:tcPr/>
          <w:p>
            <w:pPr>
              <w:pStyle w:val="Compact"/>
            </w:pPr>
            <w:r>
              <w:t xml:space="preserve">Crée une entité supplémentaire</w:t>
            </w:r>
          </w:p>
        </w:tc>
      </w:tr>
      <w:tr>
        <w:tc>
          <w:tcPr/>
          <w:p>
            <w:pPr>
              <w:pStyle w:val="Compact"/>
            </w:pPr>
            <w:r>
              <w:rPr>
                <w:b/>
                <w:bCs/>
              </w:rPr>
              <w:t xml:space="preserve">Supprimer</w:t>
            </w:r>
          </w:p>
        </w:tc>
        <w:tc>
          <w:tcPr/>
          <w:p>
            <w:pPr>
              <w:pStyle w:val="Compac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228"/>
    <w:bookmarkEnd w:id="229"/>
    <w:bookmarkEnd w:id="230"/>
    <w:bookmarkStart w:id="245" w:name="sauvegardes"/>
    <w:p>
      <w:pPr>
        <w:pStyle w:val="Heading1"/>
      </w:pPr>
      <w:r>
        <w:t xml:space="preserve">Sauvegardes</w:t>
      </w:r>
    </w:p>
    <w:p>
      <w:pPr>
        <w:pStyle w:val="CaptionedFigure"/>
      </w:pPr>
      <w:r>
        <w:drawing>
          <wp:inline>
            <wp:extent cx="5334000" cy="2637413"/>
            <wp:effectExtent b="0" l="0" r="0" t="0"/>
            <wp:docPr descr="Sauvegardes" title="" id="232" name="Picture"/>
            <a:graphic>
              <a:graphicData uri="http://schemas.openxmlformats.org/drawingml/2006/picture">
                <pic:pic>
                  <pic:nvPicPr>
                    <pic:cNvPr descr="screenshots/19-sauvegardes.png" id="233" name="Picture"/>
                    <pic:cNvPicPr>
                      <a:picLocks noChangeArrowheads="1" noChangeAspect="1"/>
                    </pic:cNvPicPr>
                  </pic:nvPicPr>
                  <pic:blipFill>
                    <a:blip r:embed="rId23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234"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234"/>
    <w:bookmarkStart w:id="235"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235"/>
    <w:bookmarkStart w:id="236"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bookmarkEnd w:id="236"/>
    <w:bookmarkStart w:id="240" w:name="sauvegarder-et-restaurer-une-société"/>
    <w:p>
      <w:pPr>
        <w:pStyle w:val="Heading2"/>
      </w:pPr>
      <w:r>
        <w:t xml:space="preserve">Sauvegarder et restaurer une société</w:t>
      </w:r>
    </w:p>
    <w:p>
      <w:pPr>
        <w:pStyle w:val="CaptionedFigure"/>
      </w:pPr>
      <w:r>
        <w:drawing>
          <wp:inline>
            <wp:extent cx="5334000" cy="2637413"/>
            <wp:effectExtent b="0" l="0" r="0" t="0"/>
            <wp:docPr descr="Sauvegarde de société" title="" id="238" name="Picture"/>
            <a:graphic>
              <a:graphicData uri="http://schemas.openxmlformats.org/drawingml/2006/picture">
                <pic:pic>
                  <pic:nvPicPr>
                    <pic:cNvPr descr="screenshots/26-sauvegarde-societe.png" id="239" name="Picture"/>
                    <pic:cNvPicPr>
                      <a:picLocks noChangeArrowheads="1" noChangeAspect="1"/>
                    </pic:cNvPicPr>
                  </pic:nvPicPr>
                  <pic:blipFill>
                    <a:blip r:embed="rId23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Bouton</w:t>
            </w:r>
          </w:p>
        </w:tc>
        <w:tc>
          <w:tcPr/>
          <w:p>
            <w:pPr>
              <w:pStyle w:val="Compact"/>
            </w:pPr>
            <w:r>
              <w:t xml:space="preserve">Usage</w:t>
            </w:r>
          </w:p>
        </w:tc>
      </w:tr>
      <w:tr>
        <w:tc>
          <w:tcPr/>
          <w:p>
            <w:pPr>
              <w:pStyle w:val="Compact"/>
            </w:pPr>
            <w:r>
              <w:rPr>
                <w:b/>
                <w:bCs/>
              </w:rPr>
              <w:t xml:space="preserve">⬇ Sauvegarder la société</w:t>
            </w:r>
          </w:p>
        </w:tc>
        <w:tc>
          <w:tcPr/>
          <w:p>
            <w:pPr>
              <w:pStyle w:val="Compact"/>
            </w:pPr>
            <w:r>
              <w:t xml:space="preserve">Télécharge l’export JSON compressé de la société courante</w:t>
            </w:r>
          </w:p>
        </w:tc>
      </w:tr>
      <w:tr>
        <w:tc>
          <w:tcPr/>
          <w:p>
            <w:pPr>
              <w:pStyle w:val="Compact"/>
            </w:pPr>
            <w:r>
              <w:rPr>
                <w:b/>
                <w:bCs/>
              </w:rPr>
              <w:t xml:space="preserve">⬆ Restaurer (même instance)</w:t>
            </w:r>
          </w:p>
        </w:tc>
        <w:tc>
          <w:tcPr/>
          <w:p>
            <w:pPr>
              <w:pStyle w:val="Compac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pPr>
            <w:r>
              <w:rPr>
                <w:b/>
                <w:bCs/>
              </w:rPr>
              <w:t xml:space="preserve">⬆ Importer (cross-instance)</w:t>
            </w:r>
          </w:p>
        </w:tc>
        <w:tc>
          <w:tcPr/>
          <w:p>
            <w:pPr>
              <w:pStyle w:val="Compac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240"/>
    <w:bookmarkStart w:id="244" w:name="maintenance-de-la-base-de-données"/>
    <w:p>
      <w:pPr>
        <w:pStyle w:val="Heading2"/>
      </w:pPr>
      <w:r>
        <w:t xml:space="preserve">Maintenance de la base de données</w:t>
      </w:r>
    </w:p>
    <w:p>
      <w:pPr>
        <w:pStyle w:val="CaptionedFigure"/>
      </w:pPr>
      <w:r>
        <w:drawing>
          <wp:inline>
            <wp:extent cx="5334000" cy="2637413"/>
            <wp:effectExtent b="0" l="0" r="0" t="0"/>
            <wp:docPr descr="Maintenance BDD" title="" id="242" name="Picture"/>
            <a:graphic>
              <a:graphicData uri="http://schemas.openxmlformats.org/drawingml/2006/picture">
                <pic:pic>
                  <pic:nvPicPr>
                    <pic:cNvPr descr="screenshots/24-maintenance-bdd.png" id="243" name="Picture"/>
                    <pic:cNvPicPr>
                      <a:picLocks noChangeArrowheads="1" noChangeAspect="1"/>
                    </pic:cNvPicPr>
                  </pic:nvPicPr>
                  <pic:blipFill>
                    <a:blip r:embed="rId24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30"/>
        </w:numPr>
      </w:pPr>
      <w:r>
        <w:t xml:space="preserve">Lancer ce nettoyage manuellement ne modifie ni ne supprime aucune donnée métier — il récupère simplement l’espace disque laissé par les lignes supprimées ou modifiées.</w:t>
      </w:r>
    </w:p>
    <w:p>
      <w:pPr>
        <w:pStyle w:val="Compact"/>
        <w:numPr>
          <w:ilvl w:val="0"/>
          <w:numId w:val="1030"/>
        </w:numPr>
      </w:pPr>
      <w:r>
        <w:t xml:space="preserve">L’opération peut ralentir temporairement l’application ; à privilégier en dehors des heures d’utilisation.</w:t>
      </w:r>
    </w:p>
    <w:p>
      <w:pPr>
        <w:pStyle w:val="Compact"/>
        <w:numPr>
          <w:ilvl w:val="0"/>
          <w:numId w:val="1030"/>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244"/>
    <w:bookmarkEnd w:id="245"/>
    <w:bookmarkStart w:id="250" w:name="conformité-fiscale"/>
    <w:p>
      <w:pPr>
        <w:pStyle w:val="Heading1"/>
      </w:pPr>
      <w:r>
        <w:t xml:space="preserve">Conformité fiscale</w:t>
      </w:r>
    </w:p>
    <w:bookmarkStart w:id="246"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246"/>
    <w:bookmarkStart w:id="247"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247"/>
    <w:bookmarkStart w:id="248"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31"/>
        </w:numPr>
      </w:pPr>
      <w:r>
        <w:t xml:space="preserve">Lisible directement par les logiciels comptables (Sage, EBP, Cegid, Pennylane…).</w:t>
      </w:r>
    </w:p>
    <w:p>
      <w:pPr>
        <w:pStyle w:val="Compact"/>
        <w:numPr>
          <w:ilvl w:val="0"/>
          <w:numId w:val="1031"/>
        </w:numPr>
      </w:pPr>
      <w:r>
        <w:t xml:space="preserve">Compatible avec l’e-invoicing européen (e-Reporting, PPF).</w:t>
      </w:r>
    </w:p>
    <w:p>
      <w:pPr>
        <w:pStyle w:val="Compact"/>
        <w:numPr>
          <w:ilvl w:val="0"/>
          <w:numId w:val="1031"/>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248"/>
    <w:bookmarkStart w:id="249"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249"/>
    <w:bookmarkEnd w:id="250"/>
    <w:bookmarkStart w:id="251"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122" Target="media/rId122.png" /><Relationship Type="http://schemas.openxmlformats.org/officeDocument/2006/relationships/image" Id="rId107" Target="media/rId107.png" /><Relationship Type="http://schemas.openxmlformats.org/officeDocument/2006/relationships/image" Id="rId179" Target="media/rId179.png" /><Relationship Type="http://schemas.openxmlformats.org/officeDocument/2006/relationships/image" Id="rId190" Target="media/rId190.png" /><Relationship Type="http://schemas.openxmlformats.org/officeDocument/2006/relationships/image" Id="rId197" Target="media/rId197.png" /><Relationship Type="http://schemas.openxmlformats.org/officeDocument/2006/relationships/image" Id="rId205" Target="media/rId205.png" /><Relationship Type="http://schemas.openxmlformats.org/officeDocument/2006/relationships/image" Id="rId215" Target="media/rId215.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02" Target="media/rId102.png" /><Relationship Type="http://schemas.openxmlformats.org/officeDocument/2006/relationships/image" Id="rId211" Target="media/rId211.png" /><Relationship Type="http://schemas.openxmlformats.org/officeDocument/2006/relationships/image" Id="rId231" Target="media/rId23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241" Target="media/rId241.png" /><Relationship Type="http://schemas.openxmlformats.org/officeDocument/2006/relationships/image" Id="rId225" Target="media/rId225.png" /><Relationship Type="http://schemas.openxmlformats.org/officeDocument/2006/relationships/image" Id="rId237" Target="media/rId237.png" /><Relationship Type="http://schemas.openxmlformats.org/officeDocument/2006/relationships/image" Id="rId164" Target="media/rId164.png" /><Relationship Type="http://schemas.openxmlformats.org/officeDocument/2006/relationships/image" Id="rId172" Target="media/rId1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2026-06-13T12:17:03Z</dcterms:created>
  <dcterms:modified xsi:type="dcterms:W3CDTF">2026-06-13T12:17:03Z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y fmtid="{D5CDD505-2E9C-101B-9397-08002B2CF9AE}" pid="10" name="toc-title">
    <vt:lpwstr>Table des matières</vt:lpwstr>
  </property>
</Properties>
</file>