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FacturPro — Manuel utilisateur</w:t>
      </w:r>
    </w:p>
    <w:p>
      <w:pPr>
        <w:pStyle w:val="Author"/>
      </w:pPr>
      <w:r>
        <w:t xml:space="preserve">Équipe FacturPro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rés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Présentation</w:t>
      </w:r>
    </w:p>
    <w:p>
      <w:pPr>
        <w:pStyle w:val="FirstParagraph"/>
      </w:pPr>
      <w:r>
        <w:t xml:space="preserve">FacturPro est un logiciel de devis et facturation conforme au droit français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Loi anti-fraude TVA 2018</w:t>
      </w:r>
      <w:r>
        <w:t xml:space="preserve"> </w:t>
      </w:r>
      <w:r>
        <w:t xml:space="preserve">— inaltérabilité des documents fiscaux garantie par des verrous de base de données et une chaîne de scellement SHA-256.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Factur-X / EN 16931</w:t>
      </w:r>
      <w:r>
        <w:t xml:space="preserve"> </w:t>
      </w:r>
      <w:r>
        <w:t xml:space="preserve">— chaque facture émise embarque un fichier XML ZUGFeRD lisible par les systèmes comptables.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 (Fichier des Écritures Comptables)</w:t>
      </w:r>
      <w:r>
        <w:t xml:space="preserve"> </w:t>
      </w:r>
      <w:r>
        <w:t xml:space="preserve">— export DGFiP à tout moment, prêt pour un contrôle fiscal.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— gestion du statut et de la durée de conservation des données clients.</w:t>
      </w:r>
    </w:p>
    <w:p>
      <w:pPr>
        <w:pStyle w:val="FirstParagraph"/>
      </w:pPr>
      <w:r>
        <w:t xml:space="preserve">Le logiciel est accessible depuis un navigateur à l’adresse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(installation locale) ou à l’adresse fournie par votre administrateur.</w:t>
      </w:r>
    </w:p>
    <w:p>
      <w:r>
        <w:pict>
          <v:rect style="width:0;height:1.5pt" o:hralign="center" o:hrstd="t" o:hr="t"/>
        </w:pict>
      </w:r>
    </w:p>
    <w:bookmarkEnd w:id="9"/>
    <w:bookmarkStart w:id="12" w:name="première-connex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Première connexion</w:t>
      </w:r>
    </w:p>
    <w:bookmarkStart w:id="10" w:name="compte-administrateu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Compte administrateur</w:t>
      </w:r>
    </w:p>
    <w:p>
      <w:pPr>
        <w:pStyle w:val="FirstParagraph"/>
      </w:pPr>
      <w:r>
        <w:t xml:space="preserve">Lors du premier démarrage, le système crée automatiquement un compte super-administrateur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Admin1234!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Changez ce mot de passe immédiatement</w:t>
      </w:r>
      <w:r>
        <w:t xml:space="preserve"> </w:t>
      </w:r>
      <w:r>
        <w:t xml:space="preserve">après la première connexion (menu</w:t>
      </w:r>
      <w:r>
        <w:t xml:space="preserve"> </w:t>
      </w:r>
      <w:r>
        <w:rPr>
          <w:i/>
          <w:iCs/>
        </w:rPr>
        <w:t xml:space="preserve">Mon compte &gt; Modifier le mot de passe</w:t>
      </w:r>
      <w:r>
        <w:t xml:space="preserve">).</w:t>
      </w:r>
    </w:p>
    <w:bookmarkEnd w:id="10"/>
    <w:bookmarkStart w:id="11" w:name="changer-son-mot-de-pass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Changer son mot de passe</w:t>
      </w:r>
    </w:p>
    <w:p>
      <w:pPr>
        <w:pStyle w:val="FirstParagraph"/>
      </w:pPr>
      <w:r>
        <w:t xml:space="preserve">Toute session ouverte peut modifier son propre mot de passe depuis le menu utilisateur en haut à droite. L’ancien mot de passe est requis pour valider la modification.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onfiguration-de-lentrepris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Configuration de l’entreprise</w:t>
      </w:r>
    </w:p>
    <w:p>
      <w:pPr>
        <w:pStyle w:val="FirstParagraph"/>
      </w:pPr>
      <w:r>
        <w:t xml:space="preserve">Avant de créer le premier document, renseignez les informations de votre société dans</w:t>
      </w:r>
      <w:r>
        <w:t xml:space="preserve"> </w:t>
      </w:r>
      <w:r>
        <w:rPr>
          <w:b/>
          <w:bCs/>
        </w:rPr>
        <w:t xml:space="preserve">Paramètres &gt; Entreprise</w:t>
      </w:r>
      <w:r>
        <w:t xml:space="preserve">.</w:t>
      </w:r>
    </w:p>
    <w:bookmarkStart w:id="13" w:name="informations-légales-obligatoir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Informations légales obligatoires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</w:pPr>
            <w:r>
              <w:t xml:space="preserve">Dénomination exacte (SIRET)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Forme juridique</w:t>
            </w:r>
          </w:p>
        </w:tc>
        <w:tc>
          <w:tcPr/>
          <w:p>
            <w:pPr>
              <w:pStyle w:val="Compact"/>
            </w:pPr>
            <w:r>
              <w:t xml:space="preserve">SAS, SARL, EI,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SIRET</w:t>
            </w:r>
          </w:p>
        </w:tc>
        <w:tc>
          <w:tcPr/>
          <w:p>
            <w:pPr>
              <w:pStyle w:val="Compact"/>
            </w:pPr>
            <w:r>
              <w:t xml:space="preserve">14 chiffres, contrôlé à l’enregistrement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N° TVA intracommunautaire</w:t>
            </w:r>
          </w:p>
        </w:tc>
        <w:tc>
          <w:tcPr/>
          <w:p>
            <w:pPr>
              <w:pStyle w:val="Compact"/>
            </w:pPr>
            <w:r>
              <w:t xml:space="preserve">FR + 2 chiffres + SIREN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 complète</w:t>
            </w:r>
          </w:p>
        </w:tc>
        <w:tc>
          <w:tcPr/>
          <w:p>
            <w:pPr>
              <w:pStyle w:val="Compact"/>
            </w:pPr>
            <w:r>
              <w:t xml:space="preserve">Figurera sur tous les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TVA</w:t>
            </w:r>
          </w:p>
        </w:tc>
        <w:tc>
          <w:tcPr/>
          <w:p>
            <w:pPr>
              <w:pStyle w:val="Compact"/>
            </w:pPr>
            <w:r>
              <w:t xml:space="preserve">Normal, franchise art. 293 B, ou autoliquidation</w:t>
            </w:r>
          </w:p>
        </w:tc>
      </w:tr>
    </w:tbl>
    <w:p>
      <w:pPr>
        <w:pStyle w:val="BodyText"/>
      </w:pPr>
      <w:r>
        <w:t xml:space="preserve">Pour les</w:t>
      </w:r>
      <w:r>
        <w:t xml:space="preserve"> </w:t>
      </w:r>
      <w:r>
        <w:rPr>
          <w:b/>
          <w:bCs/>
        </w:rPr>
        <w:t xml:space="preserve">entreprises individuelles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is_EI = oui</w:t>
      </w:r>
      <w:r>
        <w:t xml:space="preserve">), la mention légale sur les documents est adaptée automatiquement (pas de capital social ni de RCS).</w:t>
      </w:r>
    </w:p>
    <w:bookmarkEnd w:id="13"/>
    <w:bookmarkStart w:id="14" w:name="logo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Logo</w:t>
      </w:r>
    </w:p>
    <w:p>
      <w:pPr>
        <w:pStyle w:val="FirstParagraph"/>
      </w:pPr>
      <w:r>
        <w:t xml:space="preserve">Déposez votre logo (PNG, JPEG, WebP, SVG — 2 Mo max) via le bouton</w:t>
      </w:r>
      <w:r>
        <w:t xml:space="preserve"> </w:t>
      </w:r>
      <w:r>
        <w:rPr>
          <w:b/>
          <w:bCs/>
        </w:rPr>
        <w:t xml:space="preserve">Importer un logo</w:t>
      </w:r>
      <w:r>
        <w:t xml:space="preserve">. Il sera intégré en haut de tous les PDFs et sa couleur dominante sera extraite pour adapter l’habillage graphique automatiquement.</w:t>
      </w:r>
    </w:p>
    <w:bookmarkEnd w:id="14"/>
    <w:bookmarkStart w:id="15" w:name="email-smtp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Email / SMTP</w:t>
      </w:r>
    </w:p>
    <w:p>
      <w:pPr>
        <w:pStyle w:val="FirstParagraph"/>
      </w:pPr>
      <w:r>
        <w:t xml:space="preserve">Configurez le serveur SMTP dans l’onglet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pour envoyer les devis et factures directement depuis FacturPro. Sans configuration, le système utilise un compte Ethereal (emails de test visibles dans la console, non délivrés).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Hôte 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smtp.mondomaine.fr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  <w:r>
              <w:t xml:space="preserve"> </w:t>
            </w:r>
            <w:r>
              <w:t xml:space="preserve">(STARTTLS) ou</w:t>
            </w:r>
            <w:r>
              <w:t xml:space="preserve"> </w:t>
            </w:r>
            <w:r>
              <w:rPr>
                <w:rStyle w:val="VerbatimChar"/>
              </w:rPr>
              <w:t xml:space="preserve">465</w:t>
            </w:r>
            <w:r>
              <w:t xml:space="preserve"> </w:t>
            </w:r>
            <w:r>
              <w:t xml:space="preserve">(SSL)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 / Mot de passe</w:t>
            </w:r>
          </w:p>
        </w:tc>
        <w:tc>
          <w:tcPr/>
          <w:p>
            <w:pPr>
              <w:pStyle w:val="Compact"/>
            </w:pPr>
            <w:r>
              <w:t xml:space="preserve">Identifiants du compte d’envoi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Adresse expéditeur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facturation@mondomaine.fr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gestion-des-clie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Gestion des clients</w:t>
      </w:r>
    </w:p>
    <w:bookmarkStart w:id="17" w:name="créer-un-clien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Créer un client</w:t>
      </w:r>
    </w:p>
    <w:p>
      <w:pPr>
        <w:pStyle w:val="FirstParagraph"/>
      </w:pPr>
      <w:r>
        <w:t xml:space="preserve">Accédez à</w:t>
      </w:r>
      <w:r>
        <w:t xml:space="preserve"> </w:t>
      </w:r>
      <w:r>
        <w:rPr>
          <w:b/>
          <w:bCs/>
        </w:rPr>
        <w:t xml:space="preserve">Clients &gt; Nouveau client</w:t>
      </w:r>
      <w:r>
        <w:t xml:space="preserve">. Deux types sont disponibles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Professionnel</w:t>
      </w:r>
      <w:r>
        <w:t xml:space="preserve"> </w:t>
      </w:r>
      <w:r>
        <w:t xml:space="preserve">— renseignez la raison sociale, SIRET et numéro de TVA intracommunautaire si applicable.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Particulier</w:t>
      </w:r>
      <w:r>
        <w:t xml:space="preserve"> </w:t>
      </w:r>
      <w:r>
        <w:t xml:space="preserve">— civilité, prénom, nom.</w:t>
      </w:r>
    </w:p>
    <w:p>
      <w:pPr>
        <w:pStyle w:val="FirstParagraph"/>
      </w:pPr>
      <w:r>
        <w:t xml:space="preserve">Les champs adresse, code postal et ville sont obligatoires (ils figurent sur les documents).</w:t>
      </w:r>
    </w:p>
    <w:bookmarkEnd w:id="17"/>
    <w:bookmarkStart w:id="18" w:name="mode-tva-clien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Mode TVA client</w:t>
      </w:r>
    </w:p>
    <w:p>
      <w:pPr>
        <w:pStyle w:val="FirstParagraph"/>
      </w:pPr>
      <w:r>
        <w:t xml:space="preserve">Le champ</w:t>
      </w:r>
      <w:r>
        <w:t xml:space="preserve"> </w:t>
      </w:r>
      <w:r>
        <w:rPr>
          <w:b/>
          <w:bCs/>
        </w:rPr>
        <w:t xml:space="preserve">Mode TVA</w:t>
      </w:r>
      <w:r>
        <w:t xml:space="preserve"> </w:t>
      </w:r>
      <w:r>
        <w:t xml:space="preserve">permet de forcer un régime particulier pour ce client indépendamment du régime de l’entreprise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Effet sur les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TVA au taux de la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 293 B</w:t>
            </w:r>
          </w:p>
        </w:tc>
        <w:tc>
          <w:tcPr/>
          <w:p>
            <w:pPr>
              <w:pStyle w:val="Compact"/>
            </w:pPr>
            <w:r>
              <w:t xml:space="preserve">Mention légale automatique, montant TVA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Autoliquidation</w:t>
            </w:r>
          </w:p>
        </w:tc>
        <w:tc>
          <w:tcPr/>
          <w:p>
            <w:pPr>
              <w:pStyle w:val="Compact"/>
            </w:pPr>
            <w:r>
              <w:t xml:space="preserve">Mention légale art. 283-2 CGI</w:t>
            </w:r>
          </w:p>
        </w:tc>
      </w:tr>
    </w:tbl>
    <w:bookmarkEnd w:id="18"/>
    <w:bookmarkStart w:id="19" w:name="rgpd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RGPD</w:t>
      </w:r>
    </w:p>
    <w:p>
      <w:pPr>
        <w:pStyle w:val="FirstParagraph"/>
      </w:pPr>
      <w:r>
        <w:t xml:space="preserve">Chaque client possède un</w:t>
      </w:r>
      <w:r>
        <w:t xml:space="preserve"> </w:t>
      </w:r>
      <w:r>
        <w:rPr>
          <w:b/>
          <w:bCs/>
        </w:rPr>
        <w:t xml:space="preserve">statut RGPD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</w:t>
            </w:r>
          </w:p>
        </w:tc>
        <w:tc>
          <w:tcPr/>
          <w:p>
            <w:pPr>
              <w:pStyle w:val="Compact"/>
            </w:pPr>
            <w:r>
              <w:t xml:space="preserve">Contact initial, aucun document émis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actif</w:t>
            </w:r>
          </w:p>
        </w:tc>
        <w:tc>
          <w:tcPr/>
          <w:p>
            <w:pPr>
              <w:pStyle w:val="Compact"/>
            </w:pPr>
            <w:r>
              <w:t xml:space="preserve">Au moins un document envoyé/signé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Inactif</w:t>
            </w:r>
          </w:p>
        </w:tc>
        <w:tc>
          <w:tcPr/>
          <w:p>
            <w:pPr>
              <w:pStyle w:val="Compact"/>
            </w:pPr>
            <w:r>
              <w:t xml:space="preserve">Aucune activité récente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Anonymisé</w:t>
            </w:r>
          </w:p>
        </w:tc>
        <w:tc>
          <w:tcPr/>
          <w:p>
            <w:pPr>
              <w:pStyle w:val="Compact"/>
            </w:pPr>
            <w:r>
              <w:t xml:space="preserve">Données personnelles effacées (conservation légale 10 ans)</w:t>
            </w:r>
          </w:p>
        </w:tc>
      </w:tr>
    </w:tbl>
    <w:p>
      <w:pPr>
        <w:pStyle w:val="BodyText"/>
      </w:pPr>
      <w:r>
        <w:t xml:space="preserve">La date de dernière activité et la date de consentement sont tracées automatiquement.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atalogue-darticl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Catalogue d’articles</w:t>
      </w:r>
    </w:p>
    <w:p>
      <w:pPr>
        <w:pStyle w:val="FirstParagraph"/>
      </w:pPr>
      <w:r>
        <w:t xml:space="preserve">Le catalogue (</w:t>
      </w:r>
      <w:r>
        <w:rPr>
          <w:b/>
          <w:bCs/>
        </w:rPr>
        <w:t xml:space="preserve">Articles</w:t>
      </w:r>
      <w:r>
        <w:t xml:space="preserve">) vous permet de pré-renseigner vos produits et prestations pour les insérer rapidement dans les lignes de devis et factures.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Optionnel,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Affiché sur les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Texte long, imprimé sous la désignation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Unité</w:t>
            </w:r>
          </w:p>
        </w:tc>
        <w:tc>
          <w:tcPr/>
          <w:p>
            <w:pPr>
              <w:pStyle w:val="Compact"/>
            </w:pPr>
            <w:r>
              <w:t xml:space="preserve">heure, jour, forfait, pièce…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unitaire HT</w:t>
            </w:r>
          </w:p>
        </w:tc>
        <w:tc>
          <w:tcPr/>
          <w:p>
            <w:pPr>
              <w:pStyle w:val="Compact"/>
            </w:pPr>
            <w:r>
              <w:t xml:space="preserve">Valeur par défaut à l’insertion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TVA</w:t>
            </w:r>
          </w:p>
        </w:tc>
        <w:tc>
          <w:tcPr/>
          <w:p>
            <w:pPr>
              <w:pStyle w:val="Compact"/>
            </w:pPr>
            <w:r>
              <w:t xml:space="preserve">Taux pré-sélectionné dans les lignes</w:t>
            </w:r>
          </w:p>
        </w:tc>
      </w:tr>
    </w:tbl>
    <w:p>
      <w:pPr>
        <w:pStyle w:val="BodyText"/>
      </w:pPr>
      <w:r>
        <w:t xml:space="preserve">Un article peut être désactivé (</w:t>
      </w:r>
      <w:r>
        <w:rPr>
          <w:b/>
          <w:bCs/>
        </w:rPr>
        <w:t xml:space="preserve">Actif = Non</w:t>
      </w:r>
      <w:r>
        <w:t xml:space="preserve">) pour le masquer des listes de sélection sans le supprimer.</w:t>
      </w:r>
    </w:p>
    <w:p>
      <w:r>
        <w:pict>
          <v:rect style="width:0;height:1.5pt" o:hralign="center" o:hrstd="t" o:hr="t"/>
        </w:pict>
      </w:r>
    </w:p>
    <w:bookmarkEnd w:id="21"/>
    <w:bookmarkStart w:id="29" w:name="dev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Devis</w:t>
      </w:r>
    </w:p>
    <w:bookmarkStart w:id="22" w:name="cycle-de-vi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Cycle de vie</w:t>
      </w:r>
    </w:p>
    <w:p>
      <w:pPr>
        <w:pStyle w:val="SourceCode"/>
      </w:pPr>
      <w:r>
        <w:rPr>
          <w:rStyle w:val="VerbatimChar"/>
        </w:rPr>
        <w:t xml:space="preserve">brouillon → envoyé → signé (verrouillé définitivement)</w:t>
      </w:r>
      <w:r>
        <w:br/>
      </w:r>
      <w:r>
        <w:rPr>
          <w:rStyle w:val="VerbatimChar"/>
        </w:rPr>
        <w:t xml:space="preserve">                   ↘ refusé</w:t>
      </w:r>
    </w:p>
    <w:p>
      <w:pPr>
        <w:pStyle w:val="FirstParagraph"/>
      </w:pPr>
      <w:r>
        <w:t xml:space="preserve">Un devis</w:t>
      </w:r>
      <w:r>
        <w:t xml:space="preserve"> </w:t>
      </w:r>
      <w:r>
        <w:rPr>
          <w:b/>
          <w:bCs/>
        </w:rPr>
        <w:t xml:space="preserve">signé</w:t>
      </w:r>
      <w:r>
        <w:t xml:space="preserve"> </w:t>
      </w:r>
      <w:r>
        <w:t xml:space="preserve">est verrouillé au niveau de la base de données — aucune modification n’est possible. Pour corriger un devis signé, créez un</w:t>
      </w:r>
      <w:r>
        <w:t xml:space="preserve"> </w:t>
      </w:r>
      <w:r>
        <w:rPr>
          <w:b/>
          <w:bCs/>
        </w:rPr>
        <w:t xml:space="preserve">avenant</w:t>
      </w:r>
      <w:r>
        <w:t xml:space="preserve">.</w:t>
      </w:r>
    </w:p>
    <w:bookmarkEnd w:id="22"/>
    <w:bookmarkStart w:id="23" w:name="créer-un-devi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Créer un devis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Clients &gt; Devis &gt; Nouveau devis</w:t>
      </w:r>
    </w:p>
    <w:p>
      <w:pPr>
        <w:pStyle w:val="Compact"/>
        <w:numPr>
          <w:ilvl w:val="0"/>
          <w:numId w:val="1003"/>
        </w:numPr>
      </w:pPr>
      <w:r>
        <w:t xml:space="preserve">Sélectionnez le client.</w:t>
      </w:r>
    </w:p>
    <w:p>
      <w:pPr>
        <w:pStyle w:val="Compact"/>
        <w:numPr>
          <w:ilvl w:val="0"/>
          <w:numId w:val="1003"/>
        </w:numPr>
      </w:pPr>
      <w:r>
        <w:t xml:space="preserve">Renseignez l’objet, la date de validité et les conditions de paiement.</w:t>
      </w:r>
    </w:p>
    <w:p>
      <w:pPr>
        <w:pStyle w:val="Compact"/>
        <w:numPr>
          <w:ilvl w:val="0"/>
          <w:numId w:val="1003"/>
        </w:numPr>
      </w:pPr>
      <w:r>
        <w:t xml:space="preserve">Ajoutez les lignes : désignation, quantité, prix HT, taux TVA, remise (%).</w:t>
      </w:r>
    </w:p>
    <w:p>
      <w:pPr>
        <w:pStyle w:val="Compact"/>
        <w:numPr>
          <w:ilvl w:val="0"/>
          <w:numId w:val="1003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Enregistrer</w:t>
      </w:r>
      <w:r>
        <w:t xml:space="preserve"> </w:t>
      </w:r>
      <w:r>
        <w:t xml:space="preserve">— le numéro</w:t>
      </w:r>
      <w:r>
        <w:t xml:space="preserve"> </w:t>
      </w:r>
      <w:r>
        <w:rPr>
          <w:rStyle w:val="VerbatimChar"/>
        </w:rPr>
        <w:t xml:space="preserve">DEV-YYYY-NNNN</w:t>
      </w:r>
      <w:r>
        <w:t xml:space="preserve"> </w:t>
      </w:r>
      <w:r>
        <w:t xml:space="preserve">est attribué automatiquement.</w:t>
      </w:r>
    </w:p>
    <w:bookmarkEnd w:id="23"/>
    <w:bookmarkStart w:id="24" w:name="envoyer-un-devi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Envoyer un devis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Envoyer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Passe le statut à</w:t>
      </w:r>
      <w:r>
        <w:t xml:space="preserve"> </w:t>
      </w:r>
      <w:r>
        <w:rPr>
          <w:rStyle w:val="VerbatimChar"/>
        </w:rPr>
        <w:t xml:space="preserve">envoyé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un email client est renseigné, propose l’envoi direct par email avec le PDF en pièce jointe.</w:t>
      </w:r>
    </w:p>
    <w:bookmarkEnd w:id="24"/>
    <w:bookmarkStart w:id="25" w:name="signer-refuser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Signer / Refuser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Signer</w:t>
      </w:r>
      <w:r>
        <w:t xml:space="preserve"> </w:t>
      </w:r>
      <w:r>
        <w:t xml:space="preserve">: confirme l’acceptation du client. Le document est verrouillé.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Refuser</w:t>
      </w:r>
      <w:r>
        <w:t xml:space="preserve"> </w:t>
      </w:r>
      <w:r>
        <w:t xml:space="preserve">: archive le devis sans le verrouiller (il reste modifiable pour être dupliqué).</w:t>
      </w:r>
    </w:p>
    <w:bookmarkEnd w:id="25"/>
    <w:bookmarkStart w:id="26" w:name="dupliquer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Dupliquer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Dupliquer</w:t>
      </w:r>
      <w:r>
        <w:t xml:space="preserve"> </w:t>
      </w:r>
      <w:r>
        <w:t xml:space="preserve">crée un nouveau devis</w:t>
      </w:r>
      <w:r>
        <w:t xml:space="preserve"> </w:t>
      </w:r>
      <w:r>
        <w:rPr>
          <w:rStyle w:val="VerbatimChar"/>
        </w:rPr>
        <w:t xml:space="preserve">brouillon</w:t>
      </w:r>
      <w:r>
        <w:t xml:space="preserve"> </w:t>
      </w:r>
      <w:r>
        <w:t xml:space="preserve">avec les mêmes lignes, ce qui permet de repartir d’un modèle.</w:t>
      </w:r>
    </w:p>
    <w:bookmarkEnd w:id="26"/>
    <w:bookmarkStart w:id="27" w:name="aperçu-pdf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Aperçu PDF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Aperçu</w:t>
      </w:r>
      <w:r>
        <w:t xml:space="preserve"> </w:t>
      </w:r>
      <w:r>
        <w:t xml:space="preserve">génère un PDF à la volée sans le sauvegarder. Utile pour vérifier la mise en page avant envoi.</w:t>
      </w:r>
    </w:p>
    <w:bookmarkEnd w:id="27"/>
    <w:bookmarkStart w:id="28" w:name="convertir-en-facture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Convertir en facture</w:t>
      </w:r>
    </w:p>
    <w:p>
      <w:pPr>
        <w:pStyle w:val="FirstParagraph"/>
      </w:pPr>
      <w:r>
        <w:t xml:space="preserve">Depuis un devis signé, le bouton</w:t>
      </w:r>
      <w:r>
        <w:t xml:space="preserve"> </w:t>
      </w:r>
      <w:r>
        <w:rPr>
          <w:b/>
          <w:bCs/>
        </w:rPr>
        <w:t xml:space="preserve">Créer la facture</w:t>
      </w:r>
      <w:r>
        <w:t xml:space="preserve"> </w:t>
      </w:r>
      <w:r>
        <w:t xml:space="preserve">génère une facture pré-remplie à partir des lignes du devis.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venant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Avenants</w:t>
      </w:r>
    </w:p>
    <w:p>
      <w:pPr>
        <w:pStyle w:val="FirstParagraph"/>
      </w:pPr>
      <w:r>
        <w:t xml:space="preserve">Un avenant modifie un devis signé sans altérer l’original (exigence d’inaltérabilité).</w:t>
      </w:r>
    </w:p>
    <w:bookmarkStart w:id="30" w:name="créer-un-avenant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Créer un avenant</w:t>
      </w:r>
    </w:p>
    <w:p>
      <w:pPr>
        <w:pStyle w:val="FirstParagraph"/>
      </w:pPr>
      <w:r>
        <w:t xml:space="preserve">Depuis la fiche d’un devis signé :</w:t>
      </w:r>
      <w:r>
        <w:t xml:space="preserve"> </w:t>
      </w:r>
      <w:r>
        <w:rPr>
          <w:b/>
          <w:bCs/>
        </w:rPr>
        <w:t xml:space="preserve">Nouvel avenant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Motif</w:t>
            </w:r>
          </w:p>
        </w:tc>
        <w:tc>
          <w:tcPr/>
          <w:p>
            <w:pPr>
              <w:pStyle w:val="Compact"/>
            </w:pPr>
            <w:r>
              <w:t xml:space="preserve">Obligatoire — justification de la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Modifications / ajouts / suppressions par rapport au devis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montant</w:t>
            </w:r>
          </w:p>
        </w:tc>
        <w:tc>
          <w:tcPr/>
          <w:p>
            <w:pPr>
              <w:pStyle w:val="Compact"/>
            </w:pPr>
            <w:r>
              <w:t xml:space="preserve">Calculé automatiquement (positif = surcoût, négatif = déduction)</w:t>
            </w:r>
          </w:p>
        </w:tc>
      </w:tr>
    </w:tbl>
    <w:p>
      <w:pPr>
        <w:pStyle w:val="BodyText"/>
      </w:pPr>
      <w:r>
        <w:t xml:space="preserve">L’avenant suit le même cycle que le devis :</w:t>
      </w:r>
      <w:r>
        <w:t xml:space="preserve"> </w:t>
      </w:r>
      <w:r>
        <w:rPr>
          <w:rStyle w:val="VerbatimChar"/>
        </w:rPr>
        <w:t xml:space="preserve">brouillon → envoyé → signé (verrouillé)</w:t>
      </w:r>
      <w:r>
        <w:t xml:space="preserve">.</w:t>
      </w:r>
    </w:p>
    <w:p>
      <w:pPr>
        <w:pStyle w:val="BodyText"/>
      </w:pPr>
      <w:r>
        <w:t xml:space="preserve">Le PDF de l’avenant récapitule le montant initial du devis, les modifications et le nouveau montant total.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factur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Factures</w:t>
      </w:r>
    </w:p>
    <w:bookmarkStart w:id="32" w:name="cycle-de-vie-1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Cycle de vie</w:t>
      </w:r>
    </w:p>
    <w:p>
      <w:pPr>
        <w:pStyle w:val="SourceCode"/>
      </w:pPr>
      <w:r>
        <w:rPr>
          <w:rStyle w:val="VerbatimChar"/>
        </w:rPr>
        <w:t xml:space="preserve">brouillon → émise (verrouillée) → payée</w:t>
      </w:r>
    </w:p>
    <w:p>
      <w:pPr>
        <w:pStyle w:val="FirstParagraph"/>
      </w:pPr>
      <w:r>
        <w:t xml:space="preserve">Une fois</w:t>
      </w:r>
      <w:r>
        <w:t xml:space="preserve"> </w:t>
      </w:r>
      <w:r>
        <w:rPr>
          <w:b/>
          <w:bCs/>
        </w:rPr>
        <w:t xml:space="preserve">émise</w:t>
      </w:r>
      <w:r>
        <w:t xml:space="preserve">, la facture est verrouillée. La seule transition possible est de la passer à</w:t>
      </w:r>
      <w:r>
        <w:t xml:space="preserve"> </w:t>
      </w:r>
      <w:r>
        <w:rPr>
          <w:b/>
          <w:bCs/>
        </w:rPr>
        <w:t xml:space="preserve">payée</w:t>
      </w:r>
      <w:r>
        <w:t xml:space="preserve">.</w:t>
      </w:r>
    </w:p>
    <w:bookmarkEnd w:id="32"/>
    <w:bookmarkStart w:id="33" w:name="types-de-facture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Types de factures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Facture classique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Avoir</w:t>
            </w:r>
          </w:p>
        </w:tc>
        <w:tc>
          <w:tcPr/>
          <w:p>
            <w:pPr>
              <w:pStyle w:val="Compact"/>
            </w:pPr>
            <w:r>
              <w:t xml:space="preserve">Note de crédit (montants négatifs)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Acompte</w:t>
            </w:r>
          </w:p>
        </w:tc>
        <w:tc>
          <w:tcPr/>
          <w:p>
            <w:pPr>
              <w:pStyle w:val="Compact"/>
            </w:pPr>
            <w:r>
              <w:t xml:space="preserve">Facture d’acompte (voir section dédiée)</w:t>
            </w:r>
          </w:p>
        </w:tc>
      </w:tr>
    </w:tbl>
    <w:bookmarkEnd w:id="33"/>
    <w:bookmarkStart w:id="34" w:name="créer-une-facture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Créer une facture</w:t>
      </w:r>
    </w:p>
    <w:p>
      <w:pPr>
        <w:pStyle w:val="FirstParagraph"/>
      </w:pPr>
      <w:r>
        <w:t xml:space="preserve">Soit depuis un devis signé (bouton</w:t>
      </w:r>
      <w:r>
        <w:t xml:space="preserve"> </w:t>
      </w:r>
      <w:r>
        <w:rPr>
          <w:b/>
          <w:bCs/>
        </w:rPr>
        <w:t xml:space="preserve">Créer la facture</w:t>
      </w:r>
      <w:r>
        <w:t xml:space="preserve">), soit directement depuis</w:t>
      </w:r>
      <w:r>
        <w:t xml:space="preserve"> </w:t>
      </w:r>
      <w:r>
        <w:rPr>
          <w:b/>
          <w:bCs/>
        </w:rPr>
        <w:t xml:space="preserve">Factures &gt; Nouvelle facture</w:t>
      </w:r>
      <w:r>
        <w:t xml:space="preserve">.</w:t>
      </w:r>
    </w:p>
    <w:p>
      <w:pPr>
        <w:pStyle w:val="BodyText"/>
      </w:pPr>
      <w:r>
        <w:t xml:space="preserve">Les champs suivants sont importants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d’émission</w:t>
            </w:r>
          </w:p>
        </w:tc>
        <w:tc>
          <w:tcPr/>
          <w:p>
            <w:pPr>
              <w:pStyle w:val="Compact"/>
            </w:pPr>
            <w:r>
              <w:t xml:space="preserve">Date légale de la facture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d’échéance</w:t>
            </w:r>
          </w:p>
        </w:tc>
        <w:tc>
          <w:tcPr/>
          <w:p>
            <w:pPr>
              <w:pStyle w:val="Compact"/>
            </w:pPr>
            <w:r>
              <w:t xml:space="preserve">Délai de paiement convenu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de paiement</w:t>
            </w:r>
          </w:p>
        </w:tc>
        <w:tc>
          <w:tcPr/>
          <w:p>
            <w:pPr>
              <w:pStyle w:val="Compact"/>
            </w:pPr>
            <w:r>
              <w:t xml:space="preserve">Texte libre (virement, chèque…)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de paiement</w:t>
            </w:r>
          </w:p>
        </w:tc>
        <w:tc>
          <w:tcPr/>
          <w:p>
            <w:pPr>
              <w:pStyle w:val="Compact"/>
            </w:pPr>
            <w:r>
              <w:t xml:space="preserve">Sélection prédéfinie</w:t>
            </w:r>
          </w:p>
        </w:tc>
      </w:tr>
    </w:tbl>
    <w:bookmarkEnd w:id="34"/>
    <w:bookmarkStart w:id="35" w:name="émettre-une-factur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Émettre une facture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Émettre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Verrouille la facture.</w:t>
      </w:r>
    </w:p>
    <w:p>
      <w:pPr>
        <w:pStyle w:val="Compact"/>
        <w:numPr>
          <w:ilvl w:val="0"/>
          <w:numId w:val="1006"/>
        </w:numPr>
      </w:pPr>
      <w:r>
        <w:t xml:space="preserve">Génère le PDF Factur-X (PDF + XML ZUGFeRD embarqué) et le sauvegarde dans</w:t>
      </w:r>
      <w:r>
        <w:t xml:space="preserve"> </w:t>
      </w:r>
      <w:r>
        <w:rPr>
          <w:rStyle w:val="VerbatimChar"/>
        </w:rPr>
        <w:t xml:space="preserve">storage/pdf/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Inscrit les écritures comptables dans la table FEC.</w:t>
      </w:r>
    </w:p>
    <w:p>
      <w:pPr>
        <w:pStyle w:val="Compact"/>
        <w:numPr>
          <w:ilvl w:val="0"/>
          <w:numId w:val="1006"/>
        </w:numPr>
      </w:pPr>
      <w:r>
        <w:t xml:space="preserve">Inscrit un scellement SHA-256 dans</w:t>
      </w:r>
      <w:r>
        <w:t xml:space="preserve"> </w:t>
      </w:r>
      <w:r>
        <w:rPr>
          <w:rStyle w:val="VerbatimChar"/>
        </w:rPr>
        <w:t xml:space="preserve">journal_scellement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Une facture émise ne peut pas être supprimée ni modifiée.</w:t>
      </w:r>
      <w:r>
        <w:t xml:space="preserve"> </w:t>
      </w:r>
      <w:r>
        <w:t xml:space="preserve">Pour annuler, créez un avoir.</w:t>
      </w:r>
    </w:p>
    <w:bookmarkEnd w:id="35"/>
    <w:bookmarkStart w:id="36" w:name="marquer-comme-payée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Marquer comme payée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Enregistrer le paiement</w:t>
      </w:r>
      <w:r>
        <w:t xml:space="preserve"> </w:t>
      </w:r>
      <w:r>
        <w:t xml:space="preserve">: renseignez la date de paiement et le mode. Le statut passe à</w:t>
      </w:r>
      <w:r>
        <w:t xml:space="preserve"> </w:t>
      </w:r>
      <w:r>
        <w:rPr>
          <w:rStyle w:val="VerbatimChar"/>
        </w:rPr>
        <w:t xml:space="preserve">payée</w:t>
      </w:r>
      <w:r>
        <w:t xml:space="preserve">.</w:t>
      </w:r>
    </w:p>
    <w:bookmarkEnd w:id="36"/>
    <w:bookmarkStart w:id="37" w:name="télécharger-le-pdf-factur-x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Télécharger le PDF Factur-X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Télécharger PDF</w:t>
      </w:r>
      <w:r>
        <w:t xml:space="preserve"> </w:t>
      </w:r>
      <w:r>
        <w:t xml:space="preserve">livre le fichier PDF avec le fichier XML EN 16931 embarqué, compatible avec les logiciels comptables (Sage, EBP, Cegid…).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compte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Acomptes</w:t>
      </w:r>
    </w:p>
    <w:p>
      <w:pPr>
        <w:pStyle w:val="FirstParagraph"/>
      </w:pPr>
      <w:r>
        <w:t xml:space="preserve">Les acomptes permettent de facturer une partie du montant avant la livraison.</w:t>
      </w:r>
    </w:p>
    <w:bookmarkStart w:id="39" w:name="cycle-de-vie-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Cycle de vie</w:t>
      </w:r>
    </w:p>
    <w:p>
      <w:pPr>
        <w:pStyle w:val="SourceCode"/>
      </w:pPr>
      <w:r>
        <w:rPr>
          <w:rStyle w:val="VerbatimChar"/>
        </w:rPr>
        <w:t xml:space="preserve">en_attente → encaissé (verrouillé définitivement)</w:t>
      </w:r>
    </w:p>
    <w:bookmarkEnd w:id="39"/>
    <w:bookmarkStart w:id="40" w:name="créer-un-acompt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Créer un acompte</w:t>
      </w:r>
    </w:p>
    <w:p>
      <w:pPr>
        <w:pStyle w:val="FirstParagraph"/>
      </w:pPr>
      <w:r>
        <w:t xml:space="preserve">Depuis un devis signé ou une facture :</w:t>
      </w:r>
      <w:r>
        <w:t xml:space="preserve"> </w:t>
      </w:r>
      <w:r>
        <w:rPr>
          <w:b/>
          <w:bCs/>
        </w:rPr>
        <w:t xml:space="preserve">Nouvel acompte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Pourcentage</w:t>
            </w:r>
          </w:p>
        </w:tc>
        <w:tc>
          <w:tcPr/>
          <w:p>
            <w:pPr>
              <w:pStyle w:val="Compact"/>
            </w:pPr>
            <w:r>
              <w:t xml:space="preserve">Optionnel — calcule automatiquement le 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 HT</w:t>
            </w:r>
          </w:p>
        </w:tc>
        <w:tc>
          <w:tcPr/>
          <w:p>
            <w:pPr>
              <w:pStyle w:val="Compact"/>
            </w:pPr>
            <w:r>
              <w:t xml:space="preserve">Peut être saisi directement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TVA</w:t>
            </w:r>
          </w:p>
        </w:tc>
        <w:tc>
          <w:tcPr/>
          <w:p>
            <w:pPr>
              <w:pStyle w:val="Compact"/>
            </w:pPr>
            <w:r>
              <w:t xml:space="preserve">Appliqué à la totalité de l’acompte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exigible à l’encaissement</w:t>
            </w:r>
          </w:p>
        </w:tc>
        <w:tc>
          <w:tcPr/>
          <w:p>
            <w:pPr>
              <w:pStyle w:val="Compact"/>
            </w:pPr>
            <w:r>
              <w:t xml:space="preserve">Cocher si vous êtes en TVA sur encaissements</w:t>
            </w:r>
          </w:p>
        </w:tc>
      </w:tr>
    </w:tbl>
    <w:bookmarkEnd w:id="40"/>
    <w:bookmarkStart w:id="41" w:name="encaisser-un-acompte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Encaisser un acompte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Encaisser</w:t>
      </w:r>
      <w:r>
        <w:t xml:space="preserve"> </w:t>
      </w:r>
      <w:r>
        <w:t xml:space="preserve">: renseignez la date et le mode de paiement. L’acompte est verrouillé et un PDF est généré.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ons-de-livrais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Bons de livraison</w:t>
      </w:r>
    </w:p>
    <w:p>
      <w:pPr>
        <w:pStyle w:val="FirstParagraph"/>
      </w:pPr>
      <w:r>
        <w:t xml:space="preserve">Les bons de livraison (BL) documentent la remise physique des biens ou la réalisation des prestations.</w:t>
      </w:r>
    </w:p>
    <w:bookmarkStart w:id="43" w:name="créer-un-bon-de-livraison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Créer un bon de livraison</w:t>
      </w:r>
    </w:p>
    <w:p>
      <w:pPr>
        <w:pStyle w:val="FirstParagraph"/>
      </w:pPr>
      <w:r>
        <w:rPr>
          <w:b/>
          <w:bCs/>
        </w:rPr>
        <w:t xml:space="preserve">Bons de livraison &gt; Nouveau BL</w:t>
      </w:r>
      <w:r>
        <w:t xml:space="preserve">. Un BL peut être lié à un devis et/ou une facture.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de livraison</w:t>
            </w:r>
          </w:p>
        </w:tc>
        <w:tc>
          <w:tcPr/>
          <w:p>
            <w:pPr>
              <w:pStyle w:val="Compact"/>
            </w:pPr>
            <w:r>
              <w:t xml:space="preserve">Date 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Lieu de livraison</w:t>
            </w:r>
          </w:p>
        </w:tc>
        <w:tc>
          <w:tcPr/>
          <w:p>
            <w:pPr>
              <w:pStyle w:val="Compact"/>
            </w:pPr>
            <w:r>
              <w:t xml:space="preserve">Adresse si différente de la fiche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</w:t>
            </w:r>
          </w:p>
        </w:tc>
        <w:tc>
          <w:tcPr/>
          <w:p>
            <w:pPr>
              <w:pStyle w:val="Compact"/>
            </w:pPr>
            <w:r>
              <w:t xml:space="preserve">Désignation + quantité + article (optionnel)</w:t>
            </w:r>
          </w:p>
        </w:tc>
      </w:tr>
    </w:tbl>
    <w:p>
      <w:pPr>
        <w:pStyle w:val="BodyText"/>
      </w:pPr>
      <w:r>
        <w:t xml:space="preserve">Les BL ne sont pas soumis à l’obligation d’inaltérabilité fiscale — ils peuvent être modifiés tant qu’ils sont au statut</w:t>
      </w:r>
      <w:r>
        <w:t xml:space="preserve"> </w:t>
      </w:r>
      <w:r>
        <w:rPr>
          <w:rStyle w:val="VerbatimChar"/>
        </w:rPr>
        <w:t xml:space="preserve">brouillon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gestion-des-utilisateur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Gestion des utilisateurs</w:t>
      </w:r>
    </w:p>
    <w:bookmarkStart w:id="45" w:name="rôle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Rôles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Droits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Toutes les fonctions : clients, devis, factures, acomptes, BL, articles, paramètres, utilisateurs, sauvegardes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Clients, devis, factures, acomptes, BL, articles — pas de gestion des utilisateurs ni des sauvegardes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Clients, devis (lecture+écriture), factures et acomptes en lecture seule, BL,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lecteur</w:t>
            </w:r>
          </w:p>
        </w:tc>
        <w:tc>
          <w:tcPr/>
          <w:p>
            <w:pPr>
              <w:pStyle w:val="Compact"/>
            </w:pPr>
            <w:r>
              <w:t xml:space="preserve">Lecture seule sur clients, devis, factures, acomptes, BL,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Passe outre toutes les vérifications de permission ; gère plusieurs sociétés</w:t>
            </w:r>
          </w:p>
        </w:tc>
      </w:tr>
    </w:tbl>
    <w:bookmarkEnd w:id="45"/>
    <w:bookmarkStart w:id="46" w:name="créer-un-utilisateur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Créer un utilisateur</w:t>
      </w:r>
    </w:p>
    <w:p>
      <w:pPr>
        <w:pStyle w:val="FirstParagraph"/>
      </w:pPr>
      <w:r>
        <w:rPr>
          <w:b/>
          <w:bCs/>
        </w:rPr>
        <w:t xml:space="preserve">Paramètres &gt; Utilisateurs &gt; Nouvel utilisateur</w:t>
      </w:r>
      <w:r>
        <w:t xml:space="preserve">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peut créer des utilisateurs et les affecter à sa propre société. Seul un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peut créer des comptes affectés à plusieurs sociétés.</w:t>
      </w:r>
    </w:p>
    <w:bookmarkEnd w:id="46"/>
    <w:bookmarkStart w:id="47" w:name="multi-société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Multi-société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peut gérer plusieurs entreprises depuis une seule interface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Paramètres &gt; Entreprise &gt; Nouvelle société</w:t>
      </w:r>
      <w:r>
        <w:t xml:space="preserve"> </w:t>
      </w:r>
      <w:r>
        <w:t xml:space="preserve">crée une deuxième entité.</w:t>
      </w:r>
    </w:p>
    <w:p>
      <w:pPr>
        <w:pStyle w:val="Compact"/>
        <w:numPr>
          <w:ilvl w:val="0"/>
          <w:numId w:val="1007"/>
        </w:numPr>
      </w:pPr>
      <w:r>
        <w:t xml:space="preserve">Un utilisateur peut être affecté à plusieurs sociétés avec des rôles différents par société.</w:t>
      </w:r>
    </w:p>
    <w:p>
      <w:pPr>
        <w:pStyle w:val="Compact"/>
        <w:numPr>
          <w:ilvl w:val="0"/>
          <w:numId w:val="1007"/>
        </w:numPr>
      </w:pPr>
      <w:r>
        <w:t xml:space="preserve">Le commutateur de société apparaît dans le menu de navigation si l’utilisateur a accès à plusieurs entités.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auvegard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Sauvegardes</w:t>
      </w:r>
    </w:p>
    <w:bookmarkStart w:id="49" w:name="configuration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Paramètres &gt; Sauvegardes</w:t>
      </w:r>
      <w:r>
        <w:t xml:space="preserve"> </w:t>
      </w:r>
      <w:r>
        <w:t xml:space="preserve">(réservé aux administrateurs).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Répertoire de destination</w:t>
            </w:r>
          </w:p>
        </w:tc>
        <w:tc>
          <w:tcPr/>
          <w:p>
            <w:pPr>
              <w:pStyle w:val="Compact"/>
            </w:pPr>
            <w:r>
              <w:t xml:space="preserve">Chemin local ou réseau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Quotidienne, hebdomadaire, mensuelle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Heure locale du 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Rétention</w:t>
            </w:r>
          </w:p>
        </w:tc>
        <w:tc>
          <w:tcPr/>
          <w:p>
            <w:pPr>
              <w:pStyle w:val="Compact"/>
            </w:pPr>
            <w:r>
              <w:t xml:space="preserve">Nombre de sauvegardes à conserver</w:t>
            </w:r>
          </w:p>
        </w:tc>
      </w:tr>
    </w:tbl>
    <w:p>
      <w:pPr>
        <w:pStyle w:val="BodyText"/>
      </w:pPr>
      <w:r>
        <w:t xml:space="preserve">Les sauvegardes sont effectuées via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(chemin des binaires PostgreSQL configuré dans</w:t>
      </w:r>
      <w:r>
        <w:t xml:space="preserve"> </w:t>
      </w:r>
      <w:r>
        <w:rPr>
          <w:rStyle w:val="VerbatimChar"/>
        </w:rPr>
        <w:t xml:space="preserve">PG_BIN</w:t>
      </w:r>
      <w:r>
        <w:t xml:space="preserve">, par défaut</w:t>
      </w:r>
      <w:r>
        <w:t xml:space="preserve"> </w:t>
      </w:r>
      <w:r>
        <w:rPr>
          <w:rStyle w:val="VerbatimChar"/>
        </w:rPr>
        <w:t xml:space="preserve">C:\Program Files\PostgreSQL\17\bin</w:t>
      </w:r>
      <w:r>
        <w:t xml:space="preserve">).</w:t>
      </w:r>
    </w:p>
    <w:bookmarkEnd w:id="49"/>
    <w:bookmarkStart w:id="50" w:name="déclencher-une-sauvegarde-manuelle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Déclencher une sauvegarde manuelle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/>
          <w:bCs/>
        </w:rPr>
        <w:t xml:space="preserve">Sauvegarder maintenant</w:t>
      </w:r>
      <w:r>
        <w:t xml:space="preserve"> </w:t>
      </w:r>
      <w:r>
        <w:t xml:space="preserve">disponible sur la page de configuration.</w:t>
      </w:r>
    </w:p>
    <w:bookmarkEnd w:id="50"/>
    <w:bookmarkStart w:id="51" w:name="restauration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Restauration</w:t>
      </w:r>
    </w:p>
    <w:p>
      <w:pPr>
        <w:pStyle w:val="FirstParagraph"/>
      </w:pPr>
      <w:r>
        <w:t xml:space="preserve">La restauration n’est pas intégrée à l’interface ; elle se fait manuellement via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en ligne de commande. Contactez votre administrateur système.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conformité-fiscal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Conformité fiscale</w:t>
      </w:r>
    </w:p>
    <w:bookmarkStart w:id="53" w:name="export-fec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Export FEC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Fichier des Écritures Comptables</w:t>
      </w:r>
      <w:r>
        <w:t xml:space="preserve"> </w:t>
      </w:r>
      <w:r>
        <w:t xml:space="preserve">(FEC) est généré automatiquement à chaque émission de facture. Pour l’exporter :</w:t>
      </w:r>
    </w:p>
    <w:p>
      <w:pPr>
        <w:pStyle w:val="BodyText"/>
      </w:pPr>
      <w:r>
        <w:rPr>
          <w:b/>
          <w:bCs/>
        </w:rPr>
        <w:t xml:space="preserve">Factures &gt; Exporter FEC</w:t>
      </w:r>
      <w:r>
        <w:t xml:space="preserve"> </w:t>
      </w:r>
      <w:r>
        <w:t xml:space="preserve">— télécharge un fichier texte tabulé au format DGFiP, nommé</w:t>
      </w:r>
      <w:r>
        <w:t xml:space="preserve"> </w:t>
      </w:r>
      <w:r>
        <w:rPr>
          <w:rStyle w:val="VerbatimChar"/>
        </w:rPr>
        <w:t xml:space="preserve">FEC_YYYY-MM-DD.txt</w:t>
      </w:r>
      <w:r>
        <w:t xml:space="preserve">.</w:t>
      </w:r>
    </w:p>
    <w:p>
      <w:pPr>
        <w:pStyle w:val="BodyText"/>
      </w:pPr>
      <w:r>
        <w:t xml:space="preserve">Ce fichier est directement utilisable lors d’un contrôle fiscal (article L. 47 A du Livre des Procédures Fiscales).</w:t>
      </w:r>
    </w:p>
    <w:bookmarkEnd w:id="53"/>
    <w:bookmarkStart w:id="54" w:name="vérification-de-la-chaîne-de-scellement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Vérification de la chaîne de scellement</w:t>
      </w:r>
    </w:p>
    <w:p>
      <w:pPr>
        <w:pStyle w:val="FirstParagraph"/>
      </w:pPr>
      <w:r>
        <w:t xml:space="preserve">Chaque document fiscal (facture, acompte, avenant signé) est chaîné par un hash SHA-256 cumulatif. Pour vérifier l’intégrité :</w:t>
      </w:r>
    </w:p>
    <w:p>
      <w:pPr>
        <w:pStyle w:val="BodyText"/>
      </w:pPr>
      <w:r>
        <w:rPr>
          <w:b/>
          <w:bCs/>
        </w:rPr>
        <w:t xml:space="preserve">Factures &gt; Vérifier le scellement</w:t>
      </w:r>
      <w:r>
        <w:t xml:space="preserve"> </w:t>
      </w:r>
      <w:r>
        <w:t xml:space="preserve">— retourne</w:t>
      </w:r>
      <w:r>
        <w:t xml:space="preserve"> </w:t>
      </w:r>
      <w:r>
        <w:rPr>
          <w:rStyle w:val="VerbatimChar"/>
        </w:rPr>
        <w:t xml:space="preserve">{ valide: true }</w:t>
      </w:r>
      <w:r>
        <w:t xml:space="preserve"> </w:t>
      </w:r>
      <w:r>
        <w:t xml:space="preserve">si la chaîne est intacte, ou identifie le premier document altéré.</w:t>
      </w:r>
    </w:p>
    <w:p>
      <w:pPr>
        <w:pStyle w:val="BodyText"/>
      </w:pPr>
      <w:r>
        <w:t xml:space="preserve">Cette vérification peut être demandée par l’administration fiscale pour prouver que les documents n’ont pas été modifiés après émission.</w:t>
      </w:r>
    </w:p>
    <w:bookmarkEnd w:id="54"/>
    <w:bookmarkStart w:id="55" w:name="X5f042ceb9ebe6684f27fa7e27d79147e2e7b8d6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Pourquoi les documents sont-ils verrouillés 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loi anti-fraude TVA 2018</w:t>
      </w:r>
      <w:r>
        <w:t xml:space="preserve"> </w:t>
      </w:r>
      <w:r>
        <w:t xml:space="preserve">(article 88 de la loi de finances 2016) impose que les logiciels de facturation garantissent l’</w:t>
      </w:r>
      <w:r>
        <w:rPr>
          <w:b/>
          <w:bCs/>
        </w:rPr>
        <w:t xml:space="preserve">inaltérabilité</w:t>
      </w:r>
      <w:r>
        <w:t xml:space="preserve">, la</w:t>
      </w:r>
      <w:r>
        <w:t xml:space="preserve"> </w:t>
      </w:r>
      <w:r>
        <w:rPr>
          <w:b/>
          <w:bCs/>
        </w:rPr>
        <w:t xml:space="preserve">sécurisation</w:t>
      </w:r>
      <w:r>
        <w:t xml:space="preserve">, la</w:t>
      </w:r>
      <w:r>
        <w:t xml:space="preserve"> </w:t>
      </w:r>
      <w:r>
        <w:rPr>
          <w:b/>
          <w:bCs/>
        </w:rPr>
        <w:t xml:space="preserve">conservation</w:t>
      </w:r>
      <w:r>
        <w:t xml:space="preserve"> </w:t>
      </w:r>
      <w:r>
        <w:t xml:space="preserve">et l’</w:t>
      </w:r>
      <w:r>
        <w:rPr>
          <w:b/>
          <w:bCs/>
        </w:rPr>
        <w:t xml:space="preserve">archivage</w:t>
      </w:r>
      <w:r>
        <w:t xml:space="preserve"> </w:t>
      </w:r>
      <w:r>
        <w:t xml:space="preserve">des données. FacturPro satisfait à cette obligation via :</w:t>
      </w:r>
    </w:p>
    <w:p>
      <w:pPr>
        <w:pStyle w:val="Compact"/>
        <w:numPr>
          <w:ilvl w:val="0"/>
          <w:numId w:val="1008"/>
        </w:numPr>
      </w:pPr>
      <w:r>
        <w:t xml:space="preserve">Des verrous de base de données (triggers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) qui bloquent toute modification d’un document émis.</w:t>
      </w:r>
    </w:p>
    <w:p>
      <w:pPr>
        <w:pStyle w:val="Compact"/>
        <w:numPr>
          <w:ilvl w:val="0"/>
          <w:numId w:val="1008"/>
        </w:numPr>
      </w:pPr>
      <w:r>
        <w:t xml:space="preserve">Une chaîne de hachage SHA-256 (</w:t>
      </w:r>
      <w:r>
        <w:rPr>
          <w:rStyle w:val="VerbatimChar"/>
        </w:rPr>
        <w:t xml:space="preserve">journal_scellement</w:t>
      </w:r>
      <w:r>
        <w:t xml:space="preserve">) qui détecte toute altération, même directement dans la base.</w:t>
      </w:r>
    </w:p>
    <w:p>
      <w:pPr>
        <w:pStyle w:val="Compact"/>
        <w:numPr>
          <w:ilvl w:val="0"/>
          <w:numId w:val="1008"/>
        </w:numPr>
      </w:pPr>
      <w:r>
        <w:t xml:space="preserve">Une archivage automatique des snapshots JSON des documents avec conservation de 10 ans.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ésolution-des-problèmes-courant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Résolution des problèmes courants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INALTÉRABILITÉ : ce document est verrouillé »</w:t>
            </w:r>
          </w:p>
        </w:tc>
        <w:tc>
          <w:tcPr/>
          <w:p>
            <w:pPr>
              <w:pStyle w:val="Compact"/>
            </w:pPr>
            <w:r>
              <w:t xml:space="preserve">Tentative de modification d’un document émis/signé</w:t>
            </w:r>
          </w:p>
        </w:tc>
        <w:tc>
          <w:tcPr/>
          <w:p>
            <w:pPr>
              <w:pStyle w:val="Compact"/>
            </w:pPr>
            <w:r>
              <w:t xml:space="preserve">Créer un avoir ou un avenant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ISCA : le journal de scellement est inaltérable »</w:t>
            </w:r>
          </w:p>
        </w:tc>
        <w:tc>
          <w:tcPr/>
          <w:p>
            <w:pPr>
              <w:pStyle w:val="Compact"/>
            </w:pPr>
            <w:r>
              <w:t xml:space="preserve">Tentative directe de modification en base</w:t>
            </w:r>
          </w:p>
        </w:tc>
        <w:tc>
          <w:tcPr/>
          <w:p>
            <w:pPr>
              <w:pStyle w:val="Compact"/>
            </w:pPr>
            <w:r>
              <w:t xml:space="preserve">Ne jamais modifier</w:t>
            </w:r>
            <w:r>
              <w:t xml:space="preserve"> </w:t>
            </w:r>
            <w:r>
              <w:rPr>
                <w:rStyle w:val="VerbatimChar"/>
              </w:rPr>
              <w:t xml:space="preserve">journal_scellement</w:t>
            </w:r>
            <w:r>
              <w:t xml:space="preserve"> </w:t>
            </w:r>
            <w:r>
              <w:t xml:space="preserve">manuellement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non généré après émission</w:t>
            </w:r>
          </w:p>
        </w:tc>
        <w:tc>
          <w:tcPr/>
          <w:p>
            <w:pPr>
              <w:pStyle w:val="Compact"/>
            </w:pPr>
            <w:r>
              <w:t xml:space="preserve">Répertoire</w:t>
            </w:r>
            <w:r>
              <w:t xml:space="preserve"> </w:t>
            </w:r>
            <w:r>
              <w:rPr>
                <w:rStyle w:val="VerbatimChar"/>
              </w:rPr>
              <w:t xml:space="preserve">storage/pdf/</w:t>
            </w:r>
            <w:r>
              <w:t xml:space="preserve"> </w:t>
            </w:r>
            <w:r>
              <w:t xml:space="preserve">manquant ou droits insuffisants</w:t>
            </w:r>
          </w:p>
        </w:tc>
        <w:tc>
          <w:tcPr/>
          <w:p>
            <w:pPr>
              <w:pStyle w:val="Compact"/>
            </w:pPr>
            <w:r>
              <w:t xml:space="preserve">Vérifier que le répertoire existe et que le serveur a les droits d’écriture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non reçu</w:t>
            </w:r>
          </w:p>
        </w:tc>
        <w:tc>
          <w:tcPr/>
          <w:p>
            <w:pPr>
              <w:pStyle w:val="Compact"/>
            </w:pPr>
            <w:r>
              <w:t xml:space="preserve">SMTP non configuré ou compte Ethereal (mode test)</w:t>
            </w:r>
          </w:p>
        </w:tc>
        <w:tc>
          <w:tcPr/>
          <w:p>
            <w:pPr>
              <w:pStyle w:val="Compact"/>
            </w:pPr>
            <w:r>
              <w:t xml:space="preserve">Configurer le SMTP dans Paramètres &gt; Entreprise &gt;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 échouée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pg_dump.exe</w:t>
            </w:r>
            <w:r>
              <w:t xml:space="preserve"> </w:t>
            </w:r>
            <w:r>
              <w:t xml:space="preserve">introuvable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PG_BIN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</w:tbl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FacturPro — Manuel utilisateur</dc:title>
  <dc:creator>Équipe FacturPro</dc:creator>
  <dc:language>fr</dc:language>
  <cp:keywords/>
  <dcterms:created xsi:type="dcterms:W3CDTF">2026-05-30T01:07:42Z</dcterms:created>
  <dcterms:modified xsi:type="dcterms:W3CDTF">2026-05-30T01:07:42Z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header-includes">
    <vt:lpwstr/>
  </property>
  <property fmtid="{D5CDD505-2E9C-101B-9397-08002B2CF9AE}" pid="6" name="linestretch">
    <vt:lpwstr>1.3</vt:lpwstr>
  </property>
  <property fmtid="{D5CDD505-2E9C-101B-9397-08002B2CF9AE}" pid="7" name="numbersections">
    <vt:lpwstr>True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