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401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Predictive Analysis for Adverse Reaction in CAR T-Cell Therapy</w:t>
      </w:r>
    </w:p>
    <w:p w14:paraId="00000002" w14:textId="77777777" w:rsidR="0029401D" w:rsidRDefault="0029401D">
      <w:pPr>
        <w:rPr>
          <w:rFonts w:ascii="Times New Roman" w:eastAsia="Times New Roman" w:hAnsi="Times New Roman" w:cs="Times New Roman"/>
          <w:sz w:val="24"/>
          <w:szCs w:val="24"/>
        </w:rPr>
      </w:pPr>
    </w:p>
    <w:p w14:paraId="00000003" w14:textId="4CD9A080" w:rsidR="0029401D" w:rsidRDefault="00000000">
      <w:pPr>
        <w:rPr>
          <w:rFonts w:ascii="Times New Roman" w:eastAsia="Times New Roman" w:hAnsi="Times New Roman" w:cs="Times New Roman"/>
          <w:sz w:val="24"/>
          <w:szCs w:val="24"/>
        </w:rPr>
      </w:pPr>
      <w:hyperlink r:id="rId4">
        <w:r>
          <w:rPr>
            <w:rFonts w:ascii="Times New Roman" w:eastAsia="Times New Roman" w:hAnsi="Times New Roman" w:cs="Times New Roman"/>
            <w:sz w:val="24"/>
            <w:szCs w:val="24"/>
          </w:rPr>
          <w:t>Soham Ghaisas</w:t>
        </w:r>
      </w:hyperlink>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Hema Hotchandani</w:t>
      </w:r>
      <w:r>
        <w:rPr>
          <w:rFonts w:ascii="Times New Roman" w:eastAsia="Times New Roman" w:hAnsi="Times New Roman" w:cs="Times New Roman"/>
          <w:sz w:val="24"/>
          <w:szCs w:val="24"/>
          <w:vertAlign w:val="superscript"/>
        </w:rPr>
        <w:t>2</w:t>
      </w:r>
      <w:r>
        <w:rPr>
          <w:rFonts w:ascii="Verdana" w:eastAsia="Verdana" w:hAnsi="Verdana" w:cs="Verdana"/>
          <w:color w:val="2C363A"/>
          <w:sz w:val="20"/>
          <w:szCs w:val="20"/>
          <w:highlight w:val="white"/>
        </w:rPr>
        <w:t xml:space="preserve">, </w:t>
      </w:r>
      <w:r>
        <w:rPr>
          <w:rFonts w:ascii="Times New Roman" w:eastAsia="Times New Roman" w:hAnsi="Times New Roman" w:cs="Times New Roman"/>
          <w:sz w:val="24"/>
          <w:szCs w:val="24"/>
        </w:rPr>
        <w:t>Swarnika Joshi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Kshitij Jadhav</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Hasmukh Jain</w:t>
      </w:r>
      <w:r>
        <w:rPr>
          <w:rFonts w:ascii="Times New Roman" w:eastAsia="Times New Roman" w:hAnsi="Times New Roman" w:cs="Times New Roman"/>
          <w:sz w:val="24"/>
          <w:szCs w:val="24"/>
          <w:vertAlign w:val="superscript"/>
        </w:rPr>
        <w:t>2</w:t>
      </w:r>
      <w:r w:rsidR="00C1240D">
        <w:rPr>
          <w:rFonts w:ascii="Times New Roman" w:eastAsia="Times New Roman" w:hAnsi="Times New Roman" w:cs="Times New Roman"/>
          <w:sz w:val="24"/>
          <w:szCs w:val="24"/>
          <w:vertAlign w:val="superscript"/>
        </w:rPr>
        <w:t xml:space="preserve"> </w:t>
      </w:r>
    </w:p>
    <w:p w14:paraId="00000004" w14:textId="77777777" w:rsidR="0029401D" w:rsidRDefault="0029401D">
      <w:pPr>
        <w:rPr>
          <w:rFonts w:ascii="Times New Roman" w:eastAsia="Times New Roman" w:hAnsi="Times New Roman" w:cs="Times New Roman"/>
          <w:sz w:val="24"/>
          <w:szCs w:val="24"/>
        </w:rPr>
      </w:pPr>
    </w:p>
    <w:p w14:paraId="00000005" w14:textId="77777777" w:rsidR="0029401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Koita Centre for Digital Health, IIT Bombay</w:t>
      </w:r>
    </w:p>
    <w:p w14:paraId="00000006" w14:textId="77777777" w:rsidR="0029401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Tata Memorial Hospital, Mumbai</w:t>
      </w:r>
    </w:p>
    <w:p w14:paraId="00000007" w14:textId="77777777" w:rsidR="0029401D" w:rsidRDefault="0029401D">
      <w:pPr>
        <w:rPr>
          <w:rFonts w:ascii="Times New Roman" w:eastAsia="Times New Roman" w:hAnsi="Times New Roman" w:cs="Times New Roman"/>
          <w:sz w:val="24"/>
          <w:szCs w:val="24"/>
        </w:rPr>
      </w:pPr>
    </w:p>
    <w:p w14:paraId="00000008" w14:textId="77777777" w:rsidR="0029401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p>
    <w:p w14:paraId="00000009" w14:textId="77777777" w:rsidR="0029401D" w:rsidRDefault="0029401D">
      <w:pPr>
        <w:rPr>
          <w:rFonts w:ascii="Times New Roman" w:eastAsia="Times New Roman" w:hAnsi="Times New Roman" w:cs="Times New Roman"/>
          <w:sz w:val="24"/>
          <w:szCs w:val="24"/>
        </w:rPr>
      </w:pPr>
    </w:p>
    <w:p w14:paraId="0000000A" w14:textId="77777777" w:rsidR="0029401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Chimeric antigen receptor (CAR) T-cell therapy has transformed the treatment landscape for B-cell acute lymphoblastic leukemia and lymphomas. CAR-T therapy involves the genetic modification of a patient’s own T-lymphocytes to express a synthetic receptor (CAR) targeting a specific tumor antigen, in our study, CD19—a marker expressed on most B-cell malignancies. The TMH-IITB collaborative team indigenously developed and clinically applied NexCAR19, the first CAR T-Cell therapy product in India, achieving remarkable response rates and lower toxicity. However, despite its clinical efficacy, the therapy is associated with adverse immune-mediated events, particularly the Immune Effector Cell-associated Hemophagocytic </w:t>
      </w:r>
      <w:proofErr w:type="spellStart"/>
      <w:r>
        <w:rPr>
          <w:rFonts w:ascii="Times New Roman" w:eastAsia="Times New Roman" w:hAnsi="Times New Roman" w:cs="Times New Roman"/>
          <w:sz w:val="24"/>
          <w:szCs w:val="24"/>
        </w:rPr>
        <w:t>Lymphohistiocytosis</w:t>
      </w:r>
      <w:proofErr w:type="spellEnd"/>
      <w:r>
        <w:rPr>
          <w:rFonts w:ascii="Times New Roman" w:eastAsia="Times New Roman" w:hAnsi="Times New Roman" w:cs="Times New Roman"/>
          <w:sz w:val="24"/>
          <w:szCs w:val="24"/>
        </w:rPr>
        <w:t xml:space="preserve">-like </w:t>
      </w:r>
      <w:proofErr w:type="gramStart"/>
      <w:r>
        <w:rPr>
          <w:rFonts w:ascii="Times New Roman" w:eastAsia="Times New Roman" w:hAnsi="Times New Roman" w:cs="Times New Roman"/>
          <w:sz w:val="24"/>
          <w:szCs w:val="24"/>
        </w:rPr>
        <w:t>Syndrome(</w:t>
      </w:r>
      <w:proofErr w:type="gramEnd"/>
      <w:r>
        <w:rPr>
          <w:rFonts w:ascii="Times New Roman" w:eastAsia="Times New Roman" w:hAnsi="Times New Roman" w:cs="Times New Roman"/>
          <w:sz w:val="24"/>
          <w:szCs w:val="24"/>
        </w:rPr>
        <w:t>IEC_HS), a potentially life-threatening hyperinflammatory complication. Thus, we build a supervised binary classifier based on baseline/early-treatment stage data to predict (qualitatively and quantitatively) instances of such adverse reactions.</w:t>
      </w:r>
    </w:p>
    <w:p w14:paraId="0000000B" w14:textId="77777777" w:rsidR="0029401D" w:rsidRDefault="0029401D">
      <w:pPr>
        <w:rPr>
          <w:rFonts w:ascii="Times New Roman" w:eastAsia="Times New Roman" w:hAnsi="Times New Roman" w:cs="Times New Roman"/>
          <w:sz w:val="24"/>
          <w:szCs w:val="24"/>
        </w:rPr>
      </w:pPr>
    </w:p>
    <w:p w14:paraId="0000000C" w14:textId="77777777" w:rsidR="0029401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Methods</w:t>
      </w:r>
    </w:p>
    <w:p w14:paraId="0000000D" w14:textId="77777777" w:rsidR="0029401D"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consists of baseline and first week clinical and laboratory parameters collected from 155 patients treated at Tata Cancer Hospital, 33 of which experienced the IEC_HS adverse reaction, leading to a class imbalance of 4.7:1. Each patient record contains 12 continuous and 9 categorical feature variables, along with 4 early-trend (delta difference) data fields and 3 baseline variables (</w:t>
      </w:r>
      <w:proofErr w:type="spellStart"/>
      <w:r>
        <w:rPr>
          <w:rFonts w:ascii="Times New Roman" w:eastAsia="Times New Roman" w:hAnsi="Times New Roman" w:cs="Times New Roman"/>
          <w:sz w:val="24"/>
          <w:szCs w:val="24"/>
        </w:rPr>
        <w:t>Age,Gender</w:t>
      </w:r>
      <w:proofErr w:type="spellEnd"/>
      <w:r>
        <w:rPr>
          <w:rFonts w:ascii="Times New Roman" w:eastAsia="Times New Roman" w:hAnsi="Times New Roman" w:cs="Times New Roman"/>
          <w:sz w:val="24"/>
          <w:szCs w:val="24"/>
        </w:rPr>
        <w:t xml:space="preserve">, Diagnosis (BALL/Lymphoma). Also, a total of 118 missing values were found over 93 patients' data. The target variable is binary IEC_HS i.e. presence of adverse reaction. Avoiding imputation/interpolation/generating synthetic data samples is critical due to limited sample size and significant class imbalance as well as such statistical tools being clinically dubious. Along with sample efficiency, these factors lead us to our model decision of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a popular gradient-boosting framework, which natively handles missing data by building an ensemble of decision trees, each sequentially improving upon the previous.</w:t>
      </w:r>
    </w:p>
    <w:p w14:paraId="0000000E" w14:textId="77777777" w:rsidR="0029401D"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was set to Leave-one-out cross validation (LOOCV) over the entire data, with an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hyperparameter set found via </w:t>
      </w:r>
      <w:proofErr w:type="spellStart"/>
      <w:proofErr w:type="gramStart"/>
      <w:r>
        <w:rPr>
          <w:rFonts w:ascii="Times New Roman" w:eastAsia="Times New Roman" w:hAnsi="Times New Roman" w:cs="Times New Roman"/>
          <w:sz w:val="24"/>
          <w:szCs w:val="24"/>
        </w:rPr>
        <w:t>optuna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Bayesian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Parzen</w:t>
      </w:r>
      <w:proofErr w:type="spellEnd"/>
      <w:r>
        <w:rPr>
          <w:rFonts w:ascii="Times New Roman" w:eastAsia="Times New Roman" w:hAnsi="Times New Roman" w:cs="Times New Roman"/>
          <w:sz w:val="24"/>
          <w:szCs w:val="24"/>
        </w:rPr>
        <w:t xml:space="preserve"> tree estimation) reporting.  To address the </w:t>
      </w:r>
      <w:proofErr w:type="gramStart"/>
      <w:r>
        <w:rPr>
          <w:rFonts w:ascii="Times New Roman" w:eastAsia="Times New Roman" w:hAnsi="Times New Roman" w:cs="Times New Roman"/>
          <w:sz w:val="24"/>
          <w:szCs w:val="24"/>
        </w:rPr>
        <w:t>high class</w:t>
      </w:r>
      <w:proofErr w:type="gramEnd"/>
      <w:r>
        <w:rPr>
          <w:rFonts w:ascii="Times New Roman" w:eastAsia="Times New Roman" w:hAnsi="Times New Roman" w:cs="Times New Roman"/>
          <w:sz w:val="24"/>
          <w:szCs w:val="24"/>
        </w:rPr>
        <w:t xml:space="preserve"> imbalance and low sample number, we rebalance the data, based on common background feature triplets (</w:t>
      </w:r>
      <w:proofErr w:type="spellStart"/>
      <w:proofErr w:type="gramStart"/>
      <w:r>
        <w:rPr>
          <w:rFonts w:ascii="Times New Roman" w:eastAsia="Times New Roman" w:hAnsi="Times New Roman" w:cs="Times New Roman"/>
          <w:sz w:val="24"/>
          <w:szCs w:val="24"/>
        </w:rPr>
        <w:t>Age,Gender</w:t>
      </w:r>
      <w:proofErr w:type="spellEnd"/>
      <w:proofErr w:type="gramEnd"/>
      <w:r>
        <w:rPr>
          <w:rFonts w:ascii="Times New Roman" w:eastAsia="Times New Roman" w:hAnsi="Times New Roman" w:cs="Times New Roman"/>
          <w:sz w:val="24"/>
          <w:szCs w:val="24"/>
        </w:rPr>
        <w:t xml:space="preserve">, Diagnosis), which are shown to not have statistically significant class-wise differences. We also narrow down our feature space to an optimal 5-feature subset, found using greedy elimination and exhaustive search along with manual tweaking. Finally, we train our model on the balanced subset and test on the remaining </w:t>
      </w:r>
      <w:r>
        <w:rPr>
          <w:rFonts w:ascii="Times New Roman" w:eastAsia="Times New Roman" w:hAnsi="Times New Roman" w:cs="Times New Roman"/>
          <w:sz w:val="24"/>
          <w:szCs w:val="24"/>
        </w:rPr>
        <w:lastRenderedPageBreak/>
        <w:t xml:space="preserve">samples. We also perform feature importance analysis with </w:t>
      </w:r>
      <w:proofErr w:type="spellStart"/>
      <w:r>
        <w:rPr>
          <w:rFonts w:ascii="Times New Roman" w:eastAsia="Times New Roman" w:hAnsi="Times New Roman" w:cs="Times New Roman"/>
          <w:sz w:val="24"/>
          <w:szCs w:val="24"/>
        </w:rPr>
        <w:t>SHaply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also checking for pairwise feature correlations and heatmap. </w:t>
      </w:r>
    </w:p>
    <w:p w14:paraId="0000000F" w14:textId="77777777" w:rsidR="0029401D"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p w14:paraId="00000010" w14:textId="77777777" w:rsidR="0029401D"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general best approach is to LOOCV over the entire model with a learned ‘optimal’ hyperparameter set reporting an overall accuracy of 92%, precision and recall scores of 77% and 91% respectively. The F-1 score is also calculated to be 83%. With TP: 30 TN: 113 FP: 9 FN: 3. The model is biased to preferentially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false negative predictions (Type 2 error), considering clinical implications and class </w:t>
      </w:r>
      <w:proofErr w:type="spellStart"/>
      <w:proofErr w:type="gramStart"/>
      <w:r>
        <w:rPr>
          <w:rFonts w:ascii="Times New Roman" w:eastAsia="Times New Roman" w:hAnsi="Times New Roman" w:cs="Times New Roman"/>
          <w:sz w:val="24"/>
          <w:szCs w:val="24"/>
        </w:rPr>
        <w:t>imbalance.Interpreting</w:t>
      </w:r>
      <w:proofErr w:type="spellEnd"/>
      <w:proofErr w:type="gramEnd"/>
      <w:r>
        <w:rPr>
          <w:rFonts w:ascii="Times New Roman" w:eastAsia="Times New Roman" w:hAnsi="Times New Roman" w:cs="Times New Roman"/>
          <w:sz w:val="24"/>
          <w:szCs w:val="24"/>
        </w:rPr>
        <w:t xml:space="preserve"> the feature importance contributions, C-reactive protein, Acute lymphoblastic </w:t>
      </w:r>
      <w:proofErr w:type="gramStart"/>
      <w:r>
        <w:rPr>
          <w:rFonts w:ascii="Times New Roman" w:eastAsia="Times New Roman" w:hAnsi="Times New Roman" w:cs="Times New Roman"/>
          <w:sz w:val="24"/>
          <w:szCs w:val="24"/>
        </w:rPr>
        <w:t>leukemia(</w:t>
      </w:r>
      <w:proofErr w:type="gramEnd"/>
      <w:r>
        <w:rPr>
          <w:rFonts w:ascii="Times New Roman" w:eastAsia="Times New Roman" w:hAnsi="Times New Roman" w:cs="Times New Roman"/>
          <w:sz w:val="24"/>
          <w:szCs w:val="24"/>
        </w:rPr>
        <w:t xml:space="preserve">Blast), Ferritin and administration of Tocilizumab were the top ranked(absolute) strong indicators. The highest correlation was found to be 0.98 between the features Absolute Neutrophil Count (ANC) and Total Leukocyte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TLC) followed by Cytokine Release Syndrome and Tocilizumab administered leading to 0.71.</w:t>
      </w:r>
    </w:p>
    <w:p w14:paraId="00000011" w14:textId="77777777" w:rsidR="0029401D" w:rsidRDefault="0029401D">
      <w:pPr>
        <w:spacing w:before="280" w:after="280" w:line="240" w:lineRule="auto"/>
        <w:jc w:val="both"/>
        <w:rPr>
          <w:rFonts w:ascii="Times New Roman" w:eastAsia="Times New Roman" w:hAnsi="Times New Roman" w:cs="Times New Roman"/>
          <w:sz w:val="24"/>
          <w:szCs w:val="24"/>
        </w:rPr>
      </w:pPr>
    </w:p>
    <w:p w14:paraId="00000012" w14:textId="77777777" w:rsidR="0029401D"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The study proposes a clinically informed and statistically rigorous machine learning framework for the early prediction of IEC_HS in CAR T-cell therapy recipients, utilizing a parsimonious set of high-impact clinical features. The identified feature importance and inter-variable relationships are corroborated by domain expertise, enhancing model interpretability. Achieving an accuracy of 92% with minimal false negatives, the model shows significant potential as a reliable pre-infusion risk stratification tool. The quantitative and qualitative influence of key parameters is systematically established, offering a data-driven augmentation to prognostic conventions. Collectively, the findings underscore the robustness and clinical applicability of the proposed predictive analysis.</w:t>
      </w:r>
    </w:p>
    <w:p w14:paraId="00000013" w14:textId="77777777" w:rsidR="0029401D" w:rsidRDefault="0029401D">
      <w:pPr>
        <w:spacing w:before="280" w:after="280" w:line="240" w:lineRule="auto"/>
        <w:jc w:val="both"/>
        <w:rPr>
          <w:rFonts w:ascii="Times New Roman" w:eastAsia="Times New Roman" w:hAnsi="Times New Roman" w:cs="Times New Roman"/>
          <w:sz w:val="24"/>
          <w:szCs w:val="24"/>
        </w:rPr>
      </w:pPr>
    </w:p>
    <w:p w14:paraId="00000014" w14:textId="77777777" w:rsidR="0029401D" w:rsidRDefault="0029401D">
      <w:pPr>
        <w:spacing w:before="280" w:after="280" w:line="240" w:lineRule="auto"/>
        <w:jc w:val="both"/>
        <w:rPr>
          <w:rFonts w:ascii="Times New Roman" w:eastAsia="Times New Roman" w:hAnsi="Times New Roman" w:cs="Times New Roman"/>
          <w:sz w:val="24"/>
          <w:szCs w:val="24"/>
        </w:rPr>
      </w:pPr>
    </w:p>
    <w:p w14:paraId="00000015" w14:textId="77777777" w:rsidR="0029401D" w:rsidRDefault="0029401D">
      <w:pPr>
        <w:spacing w:before="280" w:after="280" w:line="240" w:lineRule="auto"/>
        <w:jc w:val="both"/>
        <w:rPr>
          <w:rFonts w:ascii="Times New Roman" w:eastAsia="Times New Roman" w:hAnsi="Times New Roman" w:cs="Times New Roman"/>
          <w:sz w:val="24"/>
          <w:szCs w:val="24"/>
        </w:rPr>
      </w:pPr>
    </w:p>
    <w:sectPr w:rsidR="002940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01D"/>
    <w:rsid w:val="0029401D"/>
    <w:rsid w:val="005A0D99"/>
    <w:rsid w:val="00C12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010DD7"/>
  <w15:docId w15:val="{6ABDBF02-03F4-2E40-9BCD-929DC196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sohamghaisas/overlay/about-this-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3</cp:revision>
  <dcterms:created xsi:type="dcterms:W3CDTF">2025-10-21T08:40:00Z</dcterms:created>
  <dcterms:modified xsi:type="dcterms:W3CDTF">2025-11-04T08:29:00Z</dcterms:modified>
</cp:coreProperties>
</file>