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Requirements Table</w:t>
      </w:r>
    </w:p>
    <w:p>
      <w:r>
        <w:rPr>
          <w:b/>
          <w:bCs/>
        </w:rPr>
        <w:t xml:space="preserve">Problem Statement #59 — Community Lost &amp; Found Matching Network</w:t>
      </w:r>
    </w:p>
    <w:p>
      <w:r>
        <w:rPr>
          <w:i/>
          <w:iCs/>
        </w:rPr>
        <w:t xml:space="preserve">Stakeholders / Actors: Finder / Owner, Community Admin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900"/>
        <w:gridCol w:w="3400"/>
        <w:gridCol w:w="2600"/>
      </w:tblGrid>
      <w:tr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match newly logged 'Found Item' posts with active 'Lost Item' reports based on category, colour tags, and location radius.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Match probability calculated and notification dispatched to potential owner. Fail: Incompatible item categories matched.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matching functionality that drives the entire lost-and-found network. (Given)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Finder to create a 'Found Item' post with category, colour tag(s), free-text description, at least one photo, and a geo-location.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post is saved with all mandatory fields and appears in the searchable index within 5 seconds. Fail: post is rejected or saved with a missing mandatory field.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Structured, tagged input is required before any matching can occur.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Owner to create a 'Lost Item' report with category, colour tag(s), free-text description, and a search radius.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report is saved with all mandatory fields and is included in the next matching cycle. Fail: report is rejected or excluded from matching.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Mirrors FR-002 for the Owner side; both records are required inputs to the matching engine.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notify a Finder and an Owner by push notification and email when a candidate match is identified for their post.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both parties receive a notification within 2 minutes of a match being calculated. Fail: no notification sent, or sent to the wrong party.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Timely notification is what turns a calculated match into an actual reunification.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Community Admin to review, flag, and remove item posts that are reported as suspicious, fraudulent, or duplicate.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flagged post is hidden from public search within 1 minute of admin action and an audit-log entry is created. Fail: post remains visible or no audit entry is created.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Moderation preserves trust and safety in a community-run network.</w:t>
            </w:r>
          </w:p>
        </w:tc>
      </w:tr>
      <w:tr>
        <w:tc>
          <w:tcPr>
            <w:tcW w:type="dxa" w:w="0"/>
            <w:shd w:fill="FDF3D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(Security)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Claimants must answer private security questions set by the Finder before item-handover contact details are revealed.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are met under simulated peak load.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fraudulent claims and protects both parties' contact information until ownership is verified. (Given)</w:t>
            </w:r>
          </w:p>
        </w:tc>
      </w:tr>
      <w:tr>
        <w:tc>
          <w:tcPr>
            <w:tcW w:type="dxa" w:w="0"/>
            <w:shd w:fill="FDF3D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(Performance)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return candidate match results within 3 seconds of a new item post being submitted, even with up to 100,000 active listings in the database.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load testing shows 95th-percentile match-response time under 3 seconds at 100,000 listings. Fail: response time exceeds 3 seconds for more than 5% of requests.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matching reduces the chance of a lost item being reunited with its owner before the trail goes cold.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2026-08-25T08:04:48.891Z</dcterms:created>
  <dcterms:modified xsi:type="dcterms:W3CDTF">2026-08-25T08:04:48.901Z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