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B365356" w:rsidR="002934F0" w:rsidRPr="00E869AA" w:rsidRDefault="00D12E1A" w:rsidP="005179C8">
      <w:pPr>
        <w:jc w:val="center"/>
      </w:pPr>
      <w:r>
        <w:t>Solicitation</w:t>
      </w:r>
      <w:r w:rsidR="002934F0" w:rsidRPr="00E869AA">
        <w:t>:</w:t>
      </w:r>
      <w:r w:rsidR="00976775" w:rsidRPr="00E869AA">
        <w:t xml:space="preserve"> </w:t>
      </w:r>
      <w:r w:rsidR="0054249A">
        <w:rPr>
          <w:b/>
          <w:bCs/>
        </w:rPr>
        <w:t>08DOA-S</w:t>
      </w:r>
      <w:r w:rsidR="008C419F">
        <w:rPr>
          <w:b/>
          <w:bCs/>
        </w:rPr>
        <w:t>2537</w:t>
      </w:r>
    </w:p>
    <w:p w14:paraId="54E63840" w14:textId="53089180" w:rsidR="002934F0" w:rsidRPr="00E869AA" w:rsidRDefault="002934F0" w:rsidP="005179C8">
      <w:pPr>
        <w:jc w:val="center"/>
      </w:pPr>
      <w:r w:rsidRPr="00E869AA">
        <w:t>For</w:t>
      </w:r>
    </w:p>
    <w:p w14:paraId="04499821" w14:textId="698945A4" w:rsidR="003B3F79" w:rsidRDefault="0054249A" w:rsidP="005179C8">
      <w:pPr>
        <w:jc w:val="center"/>
        <w:rPr>
          <w:b/>
          <w:bCs/>
        </w:rPr>
      </w:pPr>
      <w:r w:rsidRPr="0054249A">
        <w:rPr>
          <w:b/>
          <w:bCs/>
        </w:rPr>
        <w:t>McCarran Center Roof Cleaning Services</w:t>
      </w:r>
    </w:p>
    <w:p w14:paraId="364538EA" w14:textId="77777777" w:rsidR="0054249A" w:rsidRPr="00E869AA" w:rsidRDefault="0054249A" w:rsidP="005179C8">
      <w:pPr>
        <w:jc w:val="center"/>
      </w:pPr>
    </w:p>
    <w:p w14:paraId="4461C066" w14:textId="0D9DAC69" w:rsidR="002934F0" w:rsidRPr="00E869AA" w:rsidRDefault="002934F0" w:rsidP="005179C8">
      <w:pPr>
        <w:jc w:val="center"/>
      </w:pPr>
      <w:r w:rsidRPr="00E869AA">
        <w:t>Release Date:</w:t>
      </w:r>
      <w:r w:rsidR="00411933" w:rsidRPr="00E869AA">
        <w:t xml:space="preserve"> </w:t>
      </w:r>
      <w:r w:rsidR="00522CDE">
        <w:rPr>
          <w:b/>
          <w:bCs/>
        </w:rPr>
        <w:t>10/11/2023</w:t>
      </w:r>
    </w:p>
    <w:p w14:paraId="2B985DCC" w14:textId="59AB4CB7" w:rsidR="003B3F79" w:rsidRPr="00E869AA" w:rsidRDefault="002934F0" w:rsidP="005179C8">
      <w:pPr>
        <w:jc w:val="center"/>
      </w:pPr>
      <w:r w:rsidRPr="00E869AA">
        <w:t>Deadline for Submission and Opening Date and Time:</w:t>
      </w:r>
      <w:r w:rsidR="00411933" w:rsidRPr="00E869AA">
        <w:t xml:space="preserve"> </w:t>
      </w:r>
      <w:r w:rsidR="00522CDE">
        <w:rPr>
          <w:b/>
          <w:bCs/>
        </w:rPr>
        <w:t>11/13/2023</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73298222" w:rsidR="002934F0" w:rsidRPr="00E869AA" w:rsidRDefault="0054249A" w:rsidP="005179C8">
      <w:pPr>
        <w:jc w:val="center"/>
      </w:pPr>
      <w:r>
        <w:t>Joel Smedes, Purchasing Officer</w:t>
      </w:r>
    </w:p>
    <w:p w14:paraId="77ECED79" w14:textId="6C1D2725" w:rsidR="002934F0" w:rsidRPr="00E869AA" w:rsidRDefault="002934F0" w:rsidP="005179C8">
      <w:pPr>
        <w:jc w:val="center"/>
      </w:pPr>
      <w:r w:rsidRPr="00E869AA">
        <w:t>Phone</w:t>
      </w:r>
      <w:r w:rsidR="008357FE" w:rsidRPr="00E869AA">
        <w:t xml:space="preserve">, </w:t>
      </w:r>
      <w:r w:rsidR="0054249A">
        <w:t>775-684-0172</w:t>
      </w:r>
    </w:p>
    <w:p w14:paraId="0E02F26B" w14:textId="3F6F305D" w:rsidR="003B3F79" w:rsidRPr="00E869AA" w:rsidRDefault="002934F0" w:rsidP="005179C8">
      <w:pPr>
        <w:jc w:val="center"/>
      </w:pPr>
      <w:r w:rsidRPr="00E869AA">
        <w:t>Email Address</w:t>
      </w:r>
      <w:r w:rsidR="008357FE" w:rsidRPr="00E869AA">
        <w:t>,</w:t>
      </w:r>
      <w:r w:rsidR="0054249A">
        <w:t xml:space="preserve"> </w:t>
      </w:r>
      <w:hyperlink r:id="rId12" w:history="1">
        <w:r w:rsidR="0054249A" w:rsidRPr="000910C5">
          <w:rPr>
            <w:rStyle w:val="Hyperlink"/>
          </w:rPr>
          <w:t>j.smedes@admin.nv.gov</w:t>
        </w:r>
      </w:hyperlink>
      <w:r w:rsidR="0054249A">
        <w:tab/>
      </w:r>
      <w:r w:rsidR="0054249A" w:rsidRPr="00E869AA">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7B949372" w:rsidR="002934F0" w:rsidRPr="00E869AA" w:rsidRDefault="002934F0" w:rsidP="005179C8">
      <w:pPr>
        <w:jc w:val="center"/>
      </w:pPr>
      <w:r w:rsidRPr="00E869AA">
        <w:t>Ask the relay agent to dial</w:t>
      </w:r>
      <w:r w:rsidR="003E0EAD" w:rsidRPr="00E869AA">
        <w:t xml:space="preserve">, </w:t>
      </w:r>
      <w:r w:rsidRPr="00E869AA">
        <w:t>1-775-</w:t>
      </w:r>
      <w:r w:rsidR="0054249A">
        <w:t>684-0172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166446F8" w14:textId="19534CFC" w:rsidR="000E1F99"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47832044" w:history="1">
        <w:r w:rsidR="000E1F99" w:rsidRPr="00BE60F4">
          <w:rPr>
            <w:rStyle w:val="Hyperlink"/>
            <w:noProof/>
          </w:rPr>
          <w:t>1.</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APPLICABLE REGULATIONS GOVERNING PROCUREMENT</w:t>
        </w:r>
        <w:r w:rsidR="000E1F99">
          <w:rPr>
            <w:noProof/>
            <w:webHidden/>
          </w:rPr>
          <w:tab/>
        </w:r>
        <w:r w:rsidR="000E1F99">
          <w:rPr>
            <w:noProof/>
            <w:webHidden/>
          </w:rPr>
          <w:fldChar w:fldCharType="begin"/>
        </w:r>
        <w:r w:rsidR="000E1F99">
          <w:rPr>
            <w:noProof/>
            <w:webHidden/>
          </w:rPr>
          <w:instrText xml:space="preserve"> PAGEREF _Toc147832044 \h </w:instrText>
        </w:r>
        <w:r w:rsidR="000E1F99">
          <w:rPr>
            <w:noProof/>
            <w:webHidden/>
          </w:rPr>
        </w:r>
        <w:r w:rsidR="000E1F99">
          <w:rPr>
            <w:noProof/>
            <w:webHidden/>
          </w:rPr>
          <w:fldChar w:fldCharType="separate"/>
        </w:r>
        <w:r w:rsidR="000E1F99">
          <w:rPr>
            <w:noProof/>
            <w:webHidden/>
          </w:rPr>
          <w:t>2</w:t>
        </w:r>
        <w:r w:rsidR="000E1F99">
          <w:rPr>
            <w:noProof/>
            <w:webHidden/>
          </w:rPr>
          <w:fldChar w:fldCharType="end"/>
        </w:r>
      </w:hyperlink>
    </w:p>
    <w:p w14:paraId="20035F34" w14:textId="2D614B2A"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45" w:history="1">
        <w:r w:rsidR="000E1F99" w:rsidRPr="00BE60F4">
          <w:rPr>
            <w:rStyle w:val="Hyperlink"/>
            <w:noProof/>
          </w:rPr>
          <w:t>2.</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PROJECT OVERVIEW</w:t>
        </w:r>
        <w:r w:rsidR="000E1F99">
          <w:rPr>
            <w:noProof/>
            <w:webHidden/>
          </w:rPr>
          <w:tab/>
        </w:r>
        <w:r w:rsidR="000E1F99">
          <w:rPr>
            <w:noProof/>
            <w:webHidden/>
          </w:rPr>
          <w:fldChar w:fldCharType="begin"/>
        </w:r>
        <w:r w:rsidR="000E1F99">
          <w:rPr>
            <w:noProof/>
            <w:webHidden/>
          </w:rPr>
          <w:instrText xml:space="preserve"> PAGEREF _Toc147832045 \h </w:instrText>
        </w:r>
        <w:r w:rsidR="000E1F99">
          <w:rPr>
            <w:noProof/>
            <w:webHidden/>
          </w:rPr>
        </w:r>
        <w:r w:rsidR="000E1F99">
          <w:rPr>
            <w:noProof/>
            <w:webHidden/>
          </w:rPr>
          <w:fldChar w:fldCharType="separate"/>
        </w:r>
        <w:r w:rsidR="000E1F99">
          <w:rPr>
            <w:noProof/>
            <w:webHidden/>
          </w:rPr>
          <w:t>2</w:t>
        </w:r>
        <w:r w:rsidR="000E1F99">
          <w:rPr>
            <w:noProof/>
            <w:webHidden/>
          </w:rPr>
          <w:fldChar w:fldCharType="end"/>
        </w:r>
      </w:hyperlink>
    </w:p>
    <w:p w14:paraId="3C680FD4" w14:textId="56A45F58"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46" w:history="1">
        <w:r w:rsidR="000E1F99" w:rsidRPr="00BE60F4">
          <w:rPr>
            <w:rStyle w:val="Hyperlink"/>
            <w:noProof/>
          </w:rPr>
          <w:t>3.</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SCOPE OF WORK</w:t>
        </w:r>
        <w:r w:rsidR="000E1F99">
          <w:rPr>
            <w:noProof/>
            <w:webHidden/>
          </w:rPr>
          <w:tab/>
        </w:r>
        <w:r w:rsidR="000E1F99">
          <w:rPr>
            <w:noProof/>
            <w:webHidden/>
          </w:rPr>
          <w:fldChar w:fldCharType="begin"/>
        </w:r>
        <w:r w:rsidR="000E1F99">
          <w:rPr>
            <w:noProof/>
            <w:webHidden/>
          </w:rPr>
          <w:instrText xml:space="preserve"> PAGEREF _Toc147832046 \h </w:instrText>
        </w:r>
        <w:r w:rsidR="000E1F99">
          <w:rPr>
            <w:noProof/>
            <w:webHidden/>
          </w:rPr>
        </w:r>
        <w:r w:rsidR="000E1F99">
          <w:rPr>
            <w:noProof/>
            <w:webHidden/>
          </w:rPr>
          <w:fldChar w:fldCharType="separate"/>
        </w:r>
        <w:r w:rsidR="000E1F99">
          <w:rPr>
            <w:noProof/>
            <w:webHidden/>
          </w:rPr>
          <w:t>3</w:t>
        </w:r>
        <w:r w:rsidR="000E1F99">
          <w:rPr>
            <w:noProof/>
            <w:webHidden/>
          </w:rPr>
          <w:fldChar w:fldCharType="end"/>
        </w:r>
      </w:hyperlink>
    </w:p>
    <w:p w14:paraId="7F340BDB" w14:textId="0BCE76A6"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47" w:history="1">
        <w:r w:rsidR="000E1F99" w:rsidRPr="00BE60F4">
          <w:rPr>
            <w:rStyle w:val="Hyperlink"/>
            <w:noProof/>
          </w:rPr>
          <w:t>4.</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SECURITY REQUIREMENTS</w:t>
        </w:r>
        <w:r w:rsidR="000E1F99">
          <w:rPr>
            <w:noProof/>
            <w:webHidden/>
          </w:rPr>
          <w:tab/>
        </w:r>
        <w:r w:rsidR="000E1F99">
          <w:rPr>
            <w:noProof/>
            <w:webHidden/>
          </w:rPr>
          <w:fldChar w:fldCharType="begin"/>
        </w:r>
        <w:r w:rsidR="000E1F99">
          <w:rPr>
            <w:noProof/>
            <w:webHidden/>
          </w:rPr>
          <w:instrText xml:space="preserve"> PAGEREF _Toc147832047 \h </w:instrText>
        </w:r>
        <w:r w:rsidR="000E1F99">
          <w:rPr>
            <w:noProof/>
            <w:webHidden/>
          </w:rPr>
        </w:r>
        <w:r w:rsidR="000E1F99">
          <w:rPr>
            <w:noProof/>
            <w:webHidden/>
          </w:rPr>
          <w:fldChar w:fldCharType="separate"/>
        </w:r>
        <w:r w:rsidR="000E1F99">
          <w:rPr>
            <w:noProof/>
            <w:webHidden/>
          </w:rPr>
          <w:t>3</w:t>
        </w:r>
        <w:r w:rsidR="000E1F99">
          <w:rPr>
            <w:noProof/>
            <w:webHidden/>
          </w:rPr>
          <w:fldChar w:fldCharType="end"/>
        </w:r>
      </w:hyperlink>
    </w:p>
    <w:p w14:paraId="0AB7DA95" w14:textId="61C0568B"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48" w:history="1">
        <w:r w:rsidR="000E1F99" w:rsidRPr="00BE60F4">
          <w:rPr>
            <w:rStyle w:val="Hyperlink"/>
            <w:noProof/>
          </w:rPr>
          <w:t>5.</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ATTACHMENTS</w:t>
        </w:r>
        <w:r w:rsidR="000E1F99">
          <w:rPr>
            <w:noProof/>
            <w:webHidden/>
          </w:rPr>
          <w:tab/>
        </w:r>
        <w:r w:rsidR="000E1F99">
          <w:rPr>
            <w:noProof/>
            <w:webHidden/>
          </w:rPr>
          <w:fldChar w:fldCharType="begin"/>
        </w:r>
        <w:r w:rsidR="000E1F99">
          <w:rPr>
            <w:noProof/>
            <w:webHidden/>
          </w:rPr>
          <w:instrText xml:space="preserve"> PAGEREF _Toc147832048 \h </w:instrText>
        </w:r>
        <w:r w:rsidR="000E1F99">
          <w:rPr>
            <w:noProof/>
            <w:webHidden/>
          </w:rPr>
        </w:r>
        <w:r w:rsidR="000E1F99">
          <w:rPr>
            <w:noProof/>
            <w:webHidden/>
          </w:rPr>
          <w:fldChar w:fldCharType="separate"/>
        </w:r>
        <w:r w:rsidR="000E1F99">
          <w:rPr>
            <w:noProof/>
            <w:webHidden/>
          </w:rPr>
          <w:t>4</w:t>
        </w:r>
        <w:r w:rsidR="000E1F99">
          <w:rPr>
            <w:noProof/>
            <w:webHidden/>
          </w:rPr>
          <w:fldChar w:fldCharType="end"/>
        </w:r>
      </w:hyperlink>
    </w:p>
    <w:p w14:paraId="4A4929B8" w14:textId="48A83F90"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49" w:history="1">
        <w:r w:rsidR="000E1F99" w:rsidRPr="00BE60F4">
          <w:rPr>
            <w:rStyle w:val="Hyperlink"/>
            <w:noProof/>
          </w:rPr>
          <w:t>6.</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TIMELINE</w:t>
        </w:r>
        <w:r w:rsidR="000E1F99">
          <w:rPr>
            <w:noProof/>
            <w:webHidden/>
          </w:rPr>
          <w:tab/>
        </w:r>
        <w:r w:rsidR="000E1F99">
          <w:rPr>
            <w:noProof/>
            <w:webHidden/>
          </w:rPr>
          <w:fldChar w:fldCharType="begin"/>
        </w:r>
        <w:r w:rsidR="000E1F99">
          <w:rPr>
            <w:noProof/>
            <w:webHidden/>
          </w:rPr>
          <w:instrText xml:space="preserve"> PAGEREF _Toc147832049 \h </w:instrText>
        </w:r>
        <w:r w:rsidR="000E1F99">
          <w:rPr>
            <w:noProof/>
            <w:webHidden/>
          </w:rPr>
        </w:r>
        <w:r w:rsidR="000E1F99">
          <w:rPr>
            <w:noProof/>
            <w:webHidden/>
          </w:rPr>
          <w:fldChar w:fldCharType="separate"/>
        </w:r>
        <w:r w:rsidR="000E1F99">
          <w:rPr>
            <w:noProof/>
            <w:webHidden/>
          </w:rPr>
          <w:t>4</w:t>
        </w:r>
        <w:r w:rsidR="000E1F99">
          <w:rPr>
            <w:noProof/>
            <w:webHidden/>
          </w:rPr>
          <w:fldChar w:fldCharType="end"/>
        </w:r>
      </w:hyperlink>
    </w:p>
    <w:p w14:paraId="73D25C65" w14:textId="4C539C50"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50" w:history="1">
        <w:r w:rsidR="000E1F99" w:rsidRPr="00BE60F4">
          <w:rPr>
            <w:rStyle w:val="Hyperlink"/>
            <w:noProof/>
          </w:rPr>
          <w:t>7.</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EVALUATION</w:t>
        </w:r>
        <w:r w:rsidR="000E1F99">
          <w:rPr>
            <w:noProof/>
            <w:webHidden/>
          </w:rPr>
          <w:tab/>
        </w:r>
        <w:r w:rsidR="000E1F99">
          <w:rPr>
            <w:noProof/>
            <w:webHidden/>
          </w:rPr>
          <w:fldChar w:fldCharType="begin"/>
        </w:r>
        <w:r w:rsidR="000E1F99">
          <w:rPr>
            <w:noProof/>
            <w:webHidden/>
          </w:rPr>
          <w:instrText xml:space="preserve"> PAGEREF _Toc147832050 \h </w:instrText>
        </w:r>
        <w:r w:rsidR="000E1F99">
          <w:rPr>
            <w:noProof/>
            <w:webHidden/>
          </w:rPr>
        </w:r>
        <w:r w:rsidR="000E1F99">
          <w:rPr>
            <w:noProof/>
            <w:webHidden/>
          </w:rPr>
          <w:fldChar w:fldCharType="separate"/>
        </w:r>
        <w:r w:rsidR="000E1F99">
          <w:rPr>
            <w:noProof/>
            <w:webHidden/>
          </w:rPr>
          <w:t>5</w:t>
        </w:r>
        <w:r w:rsidR="000E1F99">
          <w:rPr>
            <w:noProof/>
            <w:webHidden/>
          </w:rPr>
          <w:fldChar w:fldCharType="end"/>
        </w:r>
      </w:hyperlink>
    </w:p>
    <w:p w14:paraId="682F85C0" w14:textId="68D369B3"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51" w:history="1">
        <w:r w:rsidR="000E1F99" w:rsidRPr="00BE60F4">
          <w:rPr>
            <w:rStyle w:val="Hyperlink"/>
            <w:noProof/>
          </w:rPr>
          <w:t>8.</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MANDATORY MINIMUM REQUIREMENTS</w:t>
        </w:r>
        <w:r w:rsidR="000E1F99">
          <w:rPr>
            <w:noProof/>
            <w:webHidden/>
          </w:rPr>
          <w:tab/>
        </w:r>
        <w:r w:rsidR="000E1F99">
          <w:rPr>
            <w:noProof/>
            <w:webHidden/>
          </w:rPr>
          <w:fldChar w:fldCharType="begin"/>
        </w:r>
        <w:r w:rsidR="000E1F99">
          <w:rPr>
            <w:noProof/>
            <w:webHidden/>
          </w:rPr>
          <w:instrText xml:space="preserve"> PAGEREF _Toc147832051 \h </w:instrText>
        </w:r>
        <w:r w:rsidR="000E1F99">
          <w:rPr>
            <w:noProof/>
            <w:webHidden/>
          </w:rPr>
        </w:r>
        <w:r w:rsidR="000E1F99">
          <w:rPr>
            <w:noProof/>
            <w:webHidden/>
          </w:rPr>
          <w:fldChar w:fldCharType="separate"/>
        </w:r>
        <w:r w:rsidR="000E1F99">
          <w:rPr>
            <w:noProof/>
            <w:webHidden/>
          </w:rPr>
          <w:t>5</w:t>
        </w:r>
        <w:r w:rsidR="000E1F99">
          <w:rPr>
            <w:noProof/>
            <w:webHidden/>
          </w:rPr>
          <w:fldChar w:fldCharType="end"/>
        </w:r>
      </w:hyperlink>
    </w:p>
    <w:p w14:paraId="022B08B8" w14:textId="5BA8D167"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52" w:history="1">
        <w:r w:rsidR="000E1F99" w:rsidRPr="00BE60F4">
          <w:rPr>
            <w:rStyle w:val="Hyperlink"/>
            <w:noProof/>
          </w:rPr>
          <w:t>9.</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CRITICAL ITEMS</w:t>
        </w:r>
        <w:r w:rsidR="000E1F99">
          <w:rPr>
            <w:noProof/>
            <w:webHidden/>
          </w:rPr>
          <w:tab/>
        </w:r>
        <w:r w:rsidR="000E1F99">
          <w:rPr>
            <w:noProof/>
            <w:webHidden/>
          </w:rPr>
          <w:fldChar w:fldCharType="begin"/>
        </w:r>
        <w:r w:rsidR="000E1F99">
          <w:rPr>
            <w:noProof/>
            <w:webHidden/>
          </w:rPr>
          <w:instrText xml:space="preserve"> PAGEREF _Toc147832052 \h </w:instrText>
        </w:r>
        <w:r w:rsidR="000E1F99">
          <w:rPr>
            <w:noProof/>
            <w:webHidden/>
          </w:rPr>
        </w:r>
        <w:r w:rsidR="000E1F99">
          <w:rPr>
            <w:noProof/>
            <w:webHidden/>
          </w:rPr>
          <w:fldChar w:fldCharType="separate"/>
        </w:r>
        <w:r w:rsidR="000E1F99">
          <w:rPr>
            <w:noProof/>
            <w:webHidden/>
          </w:rPr>
          <w:t>6</w:t>
        </w:r>
        <w:r w:rsidR="000E1F99">
          <w:rPr>
            <w:noProof/>
            <w:webHidden/>
          </w:rPr>
          <w:fldChar w:fldCharType="end"/>
        </w:r>
      </w:hyperlink>
    </w:p>
    <w:p w14:paraId="47FA38E2" w14:textId="4BC8EFD4" w:rsidR="000E1F99" w:rsidRDefault="00200299">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832053" w:history="1">
        <w:r w:rsidR="000E1F99" w:rsidRPr="00BE60F4">
          <w:rPr>
            <w:rStyle w:val="Hyperlink"/>
            <w:noProof/>
          </w:rPr>
          <w:t>10.</w:t>
        </w:r>
        <w:r w:rsidR="000E1F99">
          <w:rPr>
            <w:rFonts w:asciiTheme="minorHAnsi" w:eastAsiaTheme="minorEastAsia" w:hAnsiTheme="minorHAnsi" w:cstheme="minorBidi"/>
            <w:noProof/>
            <w:kern w:val="2"/>
            <w:sz w:val="22"/>
            <w:szCs w:val="22"/>
            <w14:ligatures w14:val="standardContextual"/>
          </w:rPr>
          <w:tab/>
        </w:r>
        <w:r w:rsidR="000E1F99" w:rsidRPr="00BE60F4">
          <w:rPr>
            <w:rStyle w:val="Hyperlink"/>
            <w:noProof/>
          </w:rPr>
          <w:t>SUBMISSION CHECKLIST</w:t>
        </w:r>
        <w:r w:rsidR="000E1F99">
          <w:rPr>
            <w:noProof/>
            <w:webHidden/>
          </w:rPr>
          <w:tab/>
        </w:r>
        <w:r w:rsidR="000E1F99">
          <w:rPr>
            <w:noProof/>
            <w:webHidden/>
          </w:rPr>
          <w:fldChar w:fldCharType="begin"/>
        </w:r>
        <w:r w:rsidR="000E1F99">
          <w:rPr>
            <w:noProof/>
            <w:webHidden/>
          </w:rPr>
          <w:instrText xml:space="preserve"> PAGEREF _Toc147832053 \h </w:instrText>
        </w:r>
        <w:r w:rsidR="000E1F99">
          <w:rPr>
            <w:noProof/>
            <w:webHidden/>
          </w:rPr>
        </w:r>
        <w:r w:rsidR="000E1F99">
          <w:rPr>
            <w:noProof/>
            <w:webHidden/>
          </w:rPr>
          <w:fldChar w:fldCharType="separate"/>
        </w:r>
        <w:r w:rsidR="000E1F99">
          <w:rPr>
            <w:noProof/>
            <w:webHidden/>
          </w:rPr>
          <w:t>8</w:t>
        </w:r>
        <w:r w:rsidR="000E1F99">
          <w:rPr>
            <w:noProof/>
            <w:webHidden/>
          </w:rPr>
          <w:fldChar w:fldCharType="end"/>
        </w:r>
      </w:hyperlink>
    </w:p>
    <w:p w14:paraId="1069BF31" w14:textId="65651F3A"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47832044"/>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47832045"/>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0FB4BEDF" w:rsidR="001D44B2" w:rsidRDefault="001D44B2" w:rsidP="00B05314">
      <w:pPr>
        <w:pStyle w:val="Heading2"/>
      </w:pPr>
      <w:r w:rsidRPr="00E07DDD">
        <w:t>The State of Nevada Purchasing Division</w:t>
      </w:r>
      <w:r w:rsidR="00262766" w:rsidRPr="00E07DDD">
        <w:t xml:space="preserve">, </w:t>
      </w:r>
      <w:r w:rsidR="009C4E31" w:rsidRPr="009C4E31">
        <w:t>on behalf of the Department of Administration’s State Public Works Division/Buildings and Grounds (B&amp;G)</w:t>
      </w:r>
      <w:r w:rsidRPr="00E07DDD">
        <w:t xml:space="preserve"> is seeking proposals from qualified vendors to provide </w:t>
      </w:r>
      <w:r w:rsidR="009C4E31">
        <w:t>roof cleaning</w:t>
      </w:r>
      <w:r w:rsidRPr="00E07DDD">
        <w:t xml:space="preserve"> services</w:t>
      </w:r>
      <w:r w:rsidR="00BB56AE" w:rsidRPr="00E07DDD">
        <w:t xml:space="preserve"> </w:t>
      </w:r>
      <w:r w:rsidR="009C4E31">
        <w:t>for 15 buildings at the</w:t>
      </w:r>
      <w:r w:rsidR="00BB56AE" w:rsidRPr="00E07DDD">
        <w:t xml:space="preserve"> </w:t>
      </w:r>
      <w:r w:rsidR="009C4E31">
        <w:t xml:space="preserve">McCarren Center in Las Vegas as </w:t>
      </w:r>
      <w:r w:rsidR="00BB56AE" w:rsidRPr="00E07DDD">
        <w:t>described in the scope of work</w:t>
      </w:r>
      <w:r w:rsidR="00D85839" w:rsidRPr="00E07DDD">
        <w:t xml:space="preserve"> and attachments</w:t>
      </w:r>
      <w:r w:rsidRPr="00E07DDD">
        <w:t>.</w:t>
      </w:r>
    </w:p>
    <w:p w14:paraId="046C90F7" w14:textId="77777777" w:rsidR="009C4E31" w:rsidRDefault="009C4E31" w:rsidP="009C4E31"/>
    <w:p w14:paraId="7F4D2059" w14:textId="44DD18C3" w:rsidR="00DF7E53" w:rsidRDefault="00DF7E53" w:rsidP="00DF7E53">
      <w:pPr>
        <w:pStyle w:val="Heading2"/>
      </w:pPr>
      <w:r w:rsidRPr="00DF7E53">
        <w:t xml:space="preserve">The awarded vendor will supply the necessary labor, materials, and supplies to maintain the </w:t>
      </w:r>
      <w:r>
        <w:t xml:space="preserve">roofs of the </w:t>
      </w:r>
      <w:r w:rsidRPr="00DF7E53">
        <w:t>building</w:t>
      </w:r>
      <w:r>
        <w:t>s</w:t>
      </w:r>
      <w:r w:rsidRPr="00DF7E53">
        <w:t>. Invoicing will be directed to Buildings and Grounds</w:t>
      </w:r>
      <w:r w:rsidR="00255031">
        <w:t xml:space="preserve">. All invoicing should be sent directly to Buildings and Grounds for review. </w:t>
      </w:r>
    </w:p>
    <w:p w14:paraId="28919B73" w14:textId="77777777" w:rsidR="00DF7E53" w:rsidRDefault="00DF7E53" w:rsidP="009C4E31"/>
    <w:p w14:paraId="6A012EC6" w14:textId="713DA2D3" w:rsidR="009C4E31" w:rsidRDefault="00DF7E53" w:rsidP="00DF7E53">
      <w:pPr>
        <w:pStyle w:val="Heading2"/>
      </w:pPr>
      <w:r>
        <w:t>E</w:t>
      </w:r>
      <w:r w:rsidRPr="00DF7E53">
        <w:t>xtra projects are to be scheduled with</w:t>
      </w:r>
      <w:r>
        <w:t xml:space="preserve"> </w:t>
      </w:r>
      <w:r w:rsidR="00506702">
        <w:t>Buildings and Grounds</w:t>
      </w:r>
      <w:r w:rsidRPr="00DF7E53">
        <w:t xml:space="preserve">. </w:t>
      </w:r>
      <w:r>
        <w:t>This includes a</w:t>
      </w:r>
      <w:r w:rsidRPr="00DF7E53">
        <w:t>fter storm roof cleanup.</w:t>
      </w:r>
    </w:p>
    <w:p w14:paraId="46AF14A8" w14:textId="77777777" w:rsidR="00A40FAB" w:rsidRDefault="00A40FAB" w:rsidP="00A40FAB"/>
    <w:p w14:paraId="1777314C" w14:textId="68E1C126" w:rsidR="0003636C" w:rsidRDefault="0003636C" w:rsidP="0003636C">
      <w:pPr>
        <w:pStyle w:val="Heading2"/>
      </w:pPr>
      <w:r w:rsidRPr="00FF03BC">
        <w:t xml:space="preserve">Vendor should have at least 3 years of experience cleaning a </w:t>
      </w:r>
      <w:r>
        <w:t>10</w:t>
      </w:r>
      <w:r w:rsidRPr="00FF03BC">
        <w:t xml:space="preserve">,000 square foot property, 5 years of </w:t>
      </w:r>
      <w:r w:rsidRPr="0003636C">
        <w:t xml:space="preserve">Roof cleaning service </w:t>
      </w:r>
      <w:r w:rsidR="00E32D15" w:rsidRPr="0003636C">
        <w:t>experience</w:t>
      </w:r>
      <w:r w:rsidR="00E32D15" w:rsidRPr="00FF03BC">
        <w:t>, and an</w:t>
      </w:r>
      <w:r w:rsidRPr="00FF03BC">
        <w:t xml:space="preserve"> established business of over 5 years</w:t>
      </w:r>
      <w:r>
        <w:t xml:space="preserve">. </w:t>
      </w:r>
      <w:r w:rsidRPr="00FF03BC">
        <w:t>This should be included the proposal.</w:t>
      </w:r>
    </w:p>
    <w:p w14:paraId="021269F3" w14:textId="77777777" w:rsidR="0003636C" w:rsidRDefault="0003636C" w:rsidP="00A40FAB"/>
    <w:p w14:paraId="49486841" w14:textId="3E1DECB0" w:rsidR="00A40FAB" w:rsidRPr="00A40FAB" w:rsidRDefault="00A40FAB" w:rsidP="00A40FAB">
      <w:pPr>
        <w:pStyle w:val="Heading2"/>
      </w:pPr>
      <w:r w:rsidRPr="00A40FAB">
        <w:t xml:space="preserve">Vendors must attend a mandatory site </w:t>
      </w:r>
      <w:r w:rsidR="00200299" w:rsidRPr="00A40FAB">
        <w:t>visit</w:t>
      </w:r>
      <w:r w:rsidRPr="00A40FAB">
        <w:t xml:space="preserve"> on October</w:t>
      </w:r>
      <w:r>
        <w:t xml:space="preserve"> </w:t>
      </w:r>
      <w:r w:rsidR="00200299">
        <w:t>24</w:t>
      </w:r>
      <w:r w:rsidRPr="00A40FAB">
        <w:t xml:space="preserve">, 2023, at </w:t>
      </w:r>
      <w:r w:rsidR="00200299">
        <w:t>08</w:t>
      </w:r>
      <w:r w:rsidRPr="00A40FAB">
        <w:t>:</w:t>
      </w:r>
      <w:r w:rsidR="00200299">
        <w:t xml:space="preserve">30am </w:t>
      </w:r>
      <w:r w:rsidRPr="00A40FAB">
        <w:t xml:space="preserve">in order to submit a proposal. Please refer to the Pre-Registration in the attachments form for details. Deadline to submit pre-registration form is on October </w:t>
      </w:r>
      <w:r w:rsidR="00200299">
        <w:t>23</w:t>
      </w:r>
      <w:r w:rsidRPr="00A40FAB">
        <w:t xml:space="preserve">, </w:t>
      </w:r>
      <w:r w:rsidR="00200299">
        <w:t>2023</w:t>
      </w:r>
      <w:r w:rsidRPr="00A40FAB">
        <w:t>, at</w:t>
      </w:r>
      <w:r>
        <w:t xml:space="preserve"> </w:t>
      </w:r>
      <w:r w:rsidR="00200299">
        <w:t>3</w:t>
      </w:r>
      <w:r w:rsidRPr="00A40FAB">
        <w:t>:00 pm</w:t>
      </w:r>
      <w:r w:rsidR="00284FD2">
        <w:t xml:space="preserve">. </w:t>
      </w:r>
    </w:p>
    <w:p w14:paraId="306B7618" w14:textId="77777777" w:rsidR="001D44B2" w:rsidRPr="00B66FFF" w:rsidRDefault="001D44B2" w:rsidP="00C371BD"/>
    <w:p w14:paraId="6F7DE43F" w14:textId="36497C02" w:rsidR="001D44B2" w:rsidRDefault="001D44B2" w:rsidP="009C4E31">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9C4E31">
        <w:t xml:space="preserve"> </w:t>
      </w:r>
      <w:r w:rsidR="00506702">
        <w:t>Building and Grounds</w:t>
      </w:r>
      <w:r w:rsidRPr="00E07DDD">
        <w:t xml:space="preserve"> shall administer contract(s) resulting from this </w:t>
      </w:r>
      <w:r w:rsidR="00D12E1A">
        <w:t>solicitation</w:t>
      </w:r>
      <w:r w:rsidRPr="00E07DDD">
        <w:t>.</w:t>
      </w:r>
      <w:r w:rsidR="009C4E31">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D68DC49" w14:textId="77777777" w:rsidR="00A40FAB" w:rsidRPr="00A40FAB" w:rsidRDefault="00A40FAB" w:rsidP="00A40FAB"/>
    <w:p w14:paraId="01EB51A7" w14:textId="77777777" w:rsidR="00A40FAB" w:rsidRDefault="00A40FAB" w:rsidP="00A40FAB">
      <w:pPr>
        <w:pStyle w:val="Heading2"/>
      </w:pPr>
      <w:r w:rsidRPr="00A20842">
        <w:t xml:space="preserve">State Holidays observed are located at </w:t>
      </w:r>
      <w:hyperlink r:id="rId14" w:history="1">
        <w:r w:rsidRPr="00F827ED">
          <w:rPr>
            <w:rStyle w:val="Hyperlink"/>
          </w:rPr>
          <w:t>https://hr.nv.gov/uploaded</w:t>
        </w:r>
        <w:r w:rsidRPr="00F827ED">
          <w:rPr>
            <w:rStyle w:val="Hyperlink"/>
          </w:rPr>
          <w:t>F</w:t>
        </w:r>
        <w:r w:rsidRPr="00F827ED">
          <w:rPr>
            <w:rStyle w:val="Hyperlink"/>
          </w:rPr>
          <w:t>iles/hrnvgov/Content/About/State%20Holidays.pdf</w:t>
        </w:r>
      </w:hyperlink>
      <w:r>
        <w:t xml:space="preserve">. </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727D775C" w14:textId="77777777" w:rsidR="000765A2" w:rsidRPr="000765A2" w:rsidRDefault="000765A2" w:rsidP="000765A2">
      <w:pPr>
        <w:pStyle w:val="Heading3"/>
      </w:pPr>
      <w:r w:rsidRPr="000765A2">
        <w:t>B&amp;G provides physical building maintenance for most state-owned buildings in Carson City that includes the Stewart Complex, Reno, and Las Vegas amounting to approximately 1.7 million sq. ft. of facility space. Services provided by agency staff and contracted vendors range from general building systems repair and maintenance to minor remodeling projects. Not only does B&amp;G utilize in-house staff and labor from contract vendors, but also in Northern Nevada, we utilize labor provided by community trustees from the Department of Corrections. The building maintenance section operates daily with the goal to provide excellent service through clear communication, accountability, and outstanding customer service.</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3D1393AE" w14:textId="6559EBD2" w:rsidR="009A6621" w:rsidRPr="009A6621" w:rsidRDefault="009A6621" w:rsidP="009A6621">
      <w:pPr>
        <w:pStyle w:val="Heading3"/>
      </w:pPr>
      <w:r w:rsidRPr="009A6621">
        <w:t xml:space="preserve">Buildings and Grounds is seeking </w:t>
      </w:r>
      <w:r>
        <w:t>roof cleaning services for 15 buildings</w:t>
      </w:r>
      <w:r w:rsidRPr="009A6621">
        <w:t xml:space="preserve">. See </w:t>
      </w:r>
      <w:r w:rsidRPr="009A6621">
        <w:rPr>
          <w:i/>
          <w:iCs/>
        </w:rPr>
        <w:t>Scope of Work</w:t>
      </w:r>
      <w:r w:rsidRPr="009A6621">
        <w:t xml:space="preserve"> </w:t>
      </w:r>
      <w:r>
        <w:t xml:space="preserve">and </w:t>
      </w:r>
      <w:r w:rsidRPr="009A6621">
        <w:rPr>
          <w:i/>
          <w:iCs/>
        </w:rPr>
        <w:t>Cost Schedule</w:t>
      </w:r>
      <w:r>
        <w:t xml:space="preserve"> </w:t>
      </w:r>
      <w:r w:rsidRPr="009A6621">
        <w:t>attachment</w:t>
      </w:r>
      <w:r>
        <w:t>s</w:t>
      </w:r>
      <w:r w:rsidRPr="009A6621">
        <w:t xml:space="preserve"> for</w:t>
      </w:r>
      <w:r>
        <w:t xml:space="preserve"> locations and</w:t>
      </w:r>
      <w:r w:rsidRPr="009A6621">
        <w:t xml:space="preserve"> full details.</w:t>
      </w:r>
    </w:p>
    <w:p w14:paraId="5EE894FC" w14:textId="123D7C27" w:rsidR="00D91DEB" w:rsidRPr="00B66FFF" w:rsidRDefault="00927EEF" w:rsidP="001B3E1C">
      <w:pPr>
        <w:widowControl/>
        <w:ind w:left="1080" w:hanging="1080"/>
        <w:contextualSpacing w:val="0"/>
      </w:pPr>
      <w:r>
        <w:br w:type="page"/>
      </w:r>
    </w:p>
    <w:p w14:paraId="125A3A6F" w14:textId="1EF22EE0" w:rsidR="00C56046" w:rsidRPr="00B66FFF" w:rsidRDefault="00C56046" w:rsidP="00A33A03">
      <w:pPr>
        <w:pStyle w:val="Heading1"/>
      </w:pPr>
      <w:bookmarkStart w:id="6" w:name="_Toc70363816"/>
      <w:bookmarkStart w:id="7" w:name="_Toc70367351"/>
      <w:bookmarkStart w:id="8" w:name="_Toc147832046"/>
      <w:r w:rsidRPr="00B66FFF">
        <w:lastRenderedPageBreak/>
        <w:t>SCOPE OF WORK</w:t>
      </w:r>
      <w:bookmarkEnd w:id="6"/>
      <w:bookmarkEnd w:id="7"/>
      <w:bookmarkEnd w:id="8"/>
    </w:p>
    <w:p w14:paraId="0042AC3D" w14:textId="18D65C8E" w:rsidR="00C56046" w:rsidRDefault="00C56046" w:rsidP="00C371BD"/>
    <w:p w14:paraId="2AF96F1A" w14:textId="6C5A02B7" w:rsidR="00B708CE" w:rsidRDefault="00B708CE" w:rsidP="00B708CE">
      <w:pPr>
        <w:pStyle w:val="Heading2"/>
      </w:pPr>
      <w:r>
        <w:t>The Contractor(s)shall provide all labor, materials, services, skills, supervision and necessary tools and</w:t>
      </w:r>
    </w:p>
    <w:p w14:paraId="4C0FDFA7" w14:textId="77777777" w:rsidR="00B708CE" w:rsidRDefault="00B708CE" w:rsidP="00B708CE">
      <w:pPr>
        <w:pStyle w:val="Heading2"/>
        <w:numPr>
          <w:ilvl w:val="0"/>
          <w:numId w:val="0"/>
        </w:numPr>
        <w:ind w:left="720"/>
      </w:pPr>
      <w:r>
        <w:t xml:space="preserve">equipment needed to perform a full range of roof cleaning services. </w:t>
      </w:r>
    </w:p>
    <w:p w14:paraId="696F560F" w14:textId="77777777" w:rsidR="00B708CE" w:rsidRDefault="00B708CE" w:rsidP="002E1AD5"/>
    <w:p w14:paraId="3F761DA6" w14:textId="5509C2D6" w:rsidR="00927EEF" w:rsidRDefault="00B708CE" w:rsidP="00B708CE">
      <w:pPr>
        <w:pStyle w:val="Heading2"/>
      </w:pPr>
      <w:r>
        <w:t>The cleaning will be done once a quarter.</w:t>
      </w:r>
    </w:p>
    <w:p w14:paraId="39D0E7E7" w14:textId="77777777" w:rsidR="00927EEF" w:rsidRDefault="00927EEF" w:rsidP="002E1AD5"/>
    <w:p w14:paraId="2345B620" w14:textId="77777777" w:rsidR="00B708CE" w:rsidRDefault="00B708CE" w:rsidP="00B708CE">
      <w:pPr>
        <w:pStyle w:val="Heading2"/>
      </w:pPr>
      <w:r>
        <w:t xml:space="preserve">Contractor shall remove all large debris with brooms and bags, then wash with hose with a spray nozzle. </w:t>
      </w:r>
    </w:p>
    <w:p w14:paraId="7E486A21" w14:textId="77777777" w:rsidR="00B708CE" w:rsidRDefault="00B708CE" w:rsidP="002E1AD5"/>
    <w:p w14:paraId="7B23CED7" w14:textId="4468A9D7" w:rsidR="00B708CE" w:rsidRDefault="00B708CE" w:rsidP="00B708CE">
      <w:pPr>
        <w:pStyle w:val="Heading2"/>
      </w:pPr>
      <w:r>
        <w:t>Vendor will remove any large debris to prevent plugging up the roof drains.</w:t>
      </w:r>
    </w:p>
    <w:p w14:paraId="5E6BC651" w14:textId="77777777" w:rsidR="00B708CE" w:rsidRDefault="00B708CE" w:rsidP="002E1AD5"/>
    <w:p w14:paraId="7C52844C" w14:textId="68F9B7B6" w:rsidR="00927EEF" w:rsidRDefault="00B708CE" w:rsidP="00B708CE">
      <w:pPr>
        <w:pStyle w:val="Heading2"/>
      </w:pPr>
      <w:r>
        <w:t>Membrane washing should be done from the field sheet over the overlap (not the other way around). Cleaning with a sponge, mop, or brush is the least aggressive method and works well on new material and for small areas. Apply water and a nonabrasive cleaner to the area (like simple green) and sponge, mop or brush off. Wire brushes are never to be used on the roof membrane as well as pressure washers.</w:t>
      </w:r>
    </w:p>
    <w:p w14:paraId="091E1B89" w14:textId="77777777" w:rsidR="00B708CE" w:rsidRDefault="00B708CE" w:rsidP="002E1AD5"/>
    <w:p w14:paraId="06BC5B21" w14:textId="77777777" w:rsidR="00B708CE" w:rsidRDefault="00B708CE" w:rsidP="00B708CE">
      <w:pPr>
        <w:pStyle w:val="Heading2"/>
      </w:pPr>
      <w:r>
        <w:t>Contractor shall ensure the walkways in front of building are clean, and drains are clear</w:t>
      </w:r>
    </w:p>
    <w:p w14:paraId="6F9360FE" w14:textId="0300ABB4" w:rsidR="00B708CE" w:rsidRDefault="00B708CE" w:rsidP="00B708CE">
      <w:pPr>
        <w:pStyle w:val="Heading2"/>
        <w:numPr>
          <w:ilvl w:val="0"/>
          <w:numId w:val="0"/>
        </w:numPr>
        <w:ind w:left="720"/>
      </w:pPr>
      <w:r>
        <w:t>of any debris from cleaning the roof at the end each day they work.</w:t>
      </w:r>
    </w:p>
    <w:p w14:paraId="141D4DBA" w14:textId="77777777" w:rsidR="00927EEF" w:rsidRPr="00B66FFF" w:rsidRDefault="00927EEF" w:rsidP="00C371BD"/>
    <w:p w14:paraId="7F40D7BF" w14:textId="6044D1CB" w:rsidR="00255031" w:rsidRDefault="00255031" w:rsidP="00B708CE">
      <w:pPr>
        <w:pStyle w:val="Heading1"/>
      </w:pPr>
      <w:bookmarkStart w:id="9" w:name="_Toc147832047"/>
      <w:r>
        <w:t>SECURITY REQUIREMENTS</w:t>
      </w:r>
      <w:bookmarkEnd w:id="9"/>
    </w:p>
    <w:p w14:paraId="75A1B664" w14:textId="77777777" w:rsidR="00255031" w:rsidRDefault="00255031" w:rsidP="00255031"/>
    <w:p w14:paraId="57DF0BD8" w14:textId="05515458" w:rsidR="00255031" w:rsidRDefault="00255031" w:rsidP="00B708CE">
      <w:pPr>
        <w:pStyle w:val="Heading2"/>
      </w:pPr>
      <w:r>
        <w:t>Background Check and Fingerprinting</w:t>
      </w:r>
    </w:p>
    <w:p w14:paraId="22D63E81" w14:textId="77777777" w:rsidR="00255031" w:rsidRDefault="00255031" w:rsidP="00255031"/>
    <w:p w14:paraId="5EC3D73F" w14:textId="35157032" w:rsidR="00B708CE" w:rsidRDefault="00255031" w:rsidP="00B708CE">
      <w:pPr>
        <w:pStyle w:val="Heading3"/>
      </w:pPr>
      <w:r>
        <w:t>All employees or agents of awarded vendor who will be working in any State building are required to have an initial National Crime Information Center (NCIC) background check, as well as a fingerprinting check, at no cost to the State. This background check shall also be repeated each year.</w:t>
      </w:r>
    </w:p>
    <w:p w14:paraId="00340269" w14:textId="606A0E87" w:rsidR="00255031" w:rsidRDefault="00255031" w:rsidP="00B708CE">
      <w:pPr>
        <w:pStyle w:val="Heading3"/>
      </w:pPr>
      <w:r>
        <w:t>The Buildings and Grounds designee will provide details to awarded vendor(s) regarding the application for and location for records checks</w:t>
      </w:r>
    </w:p>
    <w:p w14:paraId="664D1B9B" w14:textId="77777777" w:rsidR="00255031" w:rsidRDefault="00255031" w:rsidP="002E1AD5"/>
    <w:p w14:paraId="3729029F" w14:textId="22BF697B" w:rsidR="00255031" w:rsidRDefault="00255031" w:rsidP="00B708CE">
      <w:pPr>
        <w:pStyle w:val="Heading4"/>
      </w:pPr>
      <w:r>
        <w:t>This NCIC background check should take no longer than two (2) days, while the fingerprinting results may take several weeks.</w:t>
      </w:r>
    </w:p>
    <w:p w14:paraId="3B56528C" w14:textId="77777777" w:rsidR="00255031" w:rsidRDefault="00255031" w:rsidP="002E1AD5"/>
    <w:p w14:paraId="7CF788A1" w14:textId="75FA1376" w:rsidR="00255031" w:rsidRDefault="00255031" w:rsidP="00B708CE">
      <w:pPr>
        <w:pStyle w:val="Heading3"/>
      </w:pPr>
      <w:r>
        <w:t>After the NCIC check has been completed, employee/agents will be permitted to work in a state building on a conditional basis until the fingerprinting results have been completed.</w:t>
      </w:r>
    </w:p>
    <w:p w14:paraId="3F4172D0" w14:textId="77777777" w:rsidR="00255031" w:rsidRDefault="00255031" w:rsidP="002E1AD5"/>
    <w:p w14:paraId="4CDE65CF" w14:textId="18DCE059" w:rsidR="00255031" w:rsidRDefault="00255031" w:rsidP="00B708CE">
      <w:pPr>
        <w:pStyle w:val="Heading4"/>
      </w:pPr>
      <w:r>
        <w:t>All results must be submitted to the Buildings and Grounds designee within 24 hours of receipt.</w:t>
      </w:r>
    </w:p>
    <w:p w14:paraId="0AF4A4A6" w14:textId="697570AA" w:rsidR="00255031" w:rsidRDefault="00255031" w:rsidP="00B708CE">
      <w:pPr>
        <w:pStyle w:val="Heading4"/>
      </w:pPr>
      <w:r>
        <w:t xml:space="preserve">In the event the fingerprinting report is negative, the probationary employee will be immediately removed from the building and prohibited from entering any State building under </w:t>
      </w:r>
      <w:r w:rsidR="00B708CE">
        <w:t xml:space="preserve">contract. </w:t>
      </w:r>
    </w:p>
    <w:p w14:paraId="1A4BD218" w14:textId="3F586A3D" w:rsidR="00C0347B" w:rsidRDefault="00255031" w:rsidP="00B708CE">
      <w:pPr>
        <w:pStyle w:val="Heading4"/>
      </w:pPr>
      <w:r>
        <w:t>Local, State, and Federal background checks, as well as fingerprinting, must be completed and updated annually</w:t>
      </w:r>
    </w:p>
    <w:p w14:paraId="0504E169" w14:textId="77777777" w:rsidR="009970B1" w:rsidRDefault="009970B1" w:rsidP="001B3E1C">
      <w:pPr>
        <w:widowControl/>
        <w:ind w:left="1080" w:hanging="1080"/>
        <w:contextualSpacing w:val="0"/>
      </w:pPr>
    </w:p>
    <w:p w14:paraId="6DE1C43C" w14:textId="4FC63297" w:rsidR="009970B1" w:rsidRDefault="009970B1" w:rsidP="009970B1">
      <w:pPr>
        <w:pStyle w:val="Heading2"/>
      </w:pPr>
      <w:r>
        <w:t>Photo ID</w:t>
      </w:r>
    </w:p>
    <w:p w14:paraId="093234B3" w14:textId="77777777" w:rsidR="009970B1" w:rsidRDefault="009970B1" w:rsidP="009970B1">
      <w:pPr>
        <w:widowControl/>
        <w:ind w:left="1080" w:hanging="1080"/>
        <w:contextualSpacing w:val="0"/>
      </w:pPr>
    </w:p>
    <w:p w14:paraId="661C7717" w14:textId="4B678955" w:rsidR="009970B1" w:rsidRDefault="009970B1" w:rsidP="009970B1">
      <w:pPr>
        <w:pStyle w:val="Heading3"/>
      </w:pPr>
      <w:r w:rsidRPr="009970B1">
        <w:rPr>
          <w:rStyle w:val="Heading3Char"/>
        </w:rPr>
        <w:t>All employees of the awarded vendor will wear a photo ID badge at all times. Copies of the photo ID badges shall be remitted to the Buildings and Grounds designee prior to work start date</w:t>
      </w:r>
      <w:r>
        <w:t>.</w:t>
      </w:r>
    </w:p>
    <w:p w14:paraId="6D1192CE" w14:textId="77777777" w:rsidR="009970B1" w:rsidRDefault="009970B1" w:rsidP="009970B1">
      <w:pPr>
        <w:widowControl/>
        <w:ind w:left="1080" w:hanging="1080"/>
        <w:contextualSpacing w:val="0"/>
      </w:pPr>
    </w:p>
    <w:p w14:paraId="5639E6CA" w14:textId="268B4D19" w:rsidR="009970B1" w:rsidRDefault="009970B1" w:rsidP="009970B1">
      <w:pPr>
        <w:pStyle w:val="Heading2"/>
      </w:pPr>
      <w:r>
        <w:t>List of Awarded Vendor's Employees</w:t>
      </w:r>
    </w:p>
    <w:p w14:paraId="0657BA43" w14:textId="77777777" w:rsidR="009970B1" w:rsidRDefault="009970B1" w:rsidP="009970B1">
      <w:pPr>
        <w:widowControl/>
        <w:ind w:left="1080" w:hanging="1080"/>
        <w:contextualSpacing w:val="0"/>
      </w:pPr>
    </w:p>
    <w:p w14:paraId="6E915EE0" w14:textId="20B01ED2" w:rsidR="009970B1" w:rsidRDefault="009970B1" w:rsidP="009970B1">
      <w:pPr>
        <w:pStyle w:val="Heading3"/>
      </w:pPr>
      <w:r>
        <w:t>Awarded vendor shall furnish the Buildings and Grounds designee with a list of all proposed employee(s) names.</w:t>
      </w:r>
    </w:p>
    <w:p w14:paraId="59F19C9A" w14:textId="2762ECB4" w:rsidR="009970B1" w:rsidRDefault="009970B1" w:rsidP="009970B1">
      <w:pPr>
        <w:pStyle w:val="Heading3"/>
      </w:pPr>
      <w:r>
        <w:t>Contractor shall ensure that all background checks are completed, and the results submitted to the Buildings and Grounds designee at least seven (7) days prior to the start date of any new contract OR any new hire start date.</w:t>
      </w:r>
    </w:p>
    <w:p w14:paraId="2511A912" w14:textId="77777777" w:rsidR="009970B1" w:rsidRDefault="009970B1" w:rsidP="009970B1">
      <w:pPr>
        <w:widowControl/>
        <w:ind w:left="1080" w:hanging="1080"/>
        <w:contextualSpacing w:val="0"/>
      </w:pPr>
    </w:p>
    <w:p w14:paraId="318FEB4F" w14:textId="0246D8A4" w:rsidR="009970B1" w:rsidRDefault="009970B1" w:rsidP="009970B1">
      <w:pPr>
        <w:pStyle w:val="Heading2"/>
      </w:pPr>
      <w:r>
        <w:t>Changes to Awarded Vendor(s)' Employee Lists</w:t>
      </w:r>
    </w:p>
    <w:p w14:paraId="79431262" w14:textId="77777777" w:rsidR="009970B1" w:rsidRDefault="009970B1" w:rsidP="009970B1">
      <w:pPr>
        <w:widowControl/>
        <w:ind w:left="1080" w:hanging="1080"/>
        <w:contextualSpacing w:val="0"/>
      </w:pPr>
    </w:p>
    <w:p w14:paraId="6DC09651" w14:textId="3C0A825A" w:rsidR="003B3BFC" w:rsidRPr="00B66FFF" w:rsidRDefault="009970B1" w:rsidP="009970B1">
      <w:pPr>
        <w:pStyle w:val="Heading3"/>
      </w:pPr>
      <w:r>
        <w:t>When an awarded vendor(s) makes a change to an employee list, either on a temporary or permanent basis, the vendor shall notify the Buildings and Grounds designee at least seven (7) days prior to the change and shall also ensure that the required background checks have been completed, with results provided to the Buildings and Grounds designee.</w:t>
      </w:r>
      <w:r w:rsidR="001B3E1C">
        <w:br w:type="page"/>
      </w:r>
    </w:p>
    <w:p w14:paraId="1764AA9F" w14:textId="77777777" w:rsidR="00104A2B" w:rsidRPr="00B66FFF" w:rsidRDefault="00104A2B" w:rsidP="00A33A03">
      <w:pPr>
        <w:pStyle w:val="Heading1"/>
      </w:pPr>
      <w:bookmarkStart w:id="10" w:name="_Toc70363822"/>
      <w:bookmarkStart w:id="11" w:name="_Toc70367357"/>
      <w:bookmarkStart w:id="12" w:name="_Toc147832048"/>
      <w:bookmarkStart w:id="13" w:name="_Toc31721213"/>
      <w:bookmarkStart w:id="14" w:name="_Toc64377102"/>
      <w:bookmarkStart w:id="15" w:name="_Toc64991541"/>
      <w:bookmarkStart w:id="16" w:name="_Toc65138426"/>
      <w:bookmarkStart w:id="17" w:name="_Toc66176034"/>
      <w:bookmarkStart w:id="18" w:name="_Toc70363819"/>
      <w:bookmarkStart w:id="19" w:name="_Toc70367354"/>
      <w:bookmarkStart w:id="20" w:name="_Toc70363817"/>
      <w:bookmarkStart w:id="21" w:name="_Toc70367352"/>
      <w:r w:rsidRPr="00B66FFF">
        <w:lastRenderedPageBreak/>
        <w:t>ATTACHMENTS</w:t>
      </w:r>
      <w:bookmarkEnd w:id="10"/>
      <w:bookmarkEnd w:id="11"/>
      <w:bookmarkEnd w:id="12"/>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A40FAB">
        <w:t>Cost Schedule</w:t>
      </w:r>
    </w:p>
    <w:p w14:paraId="5B5697AF" w14:textId="3AC22D08" w:rsidR="00A40FAB" w:rsidRPr="00A40FAB" w:rsidRDefault="00A40FAB" w:rsidP="00307E07">
      <w:pPr>
        <w:pStyle w:val="Heading3"/>
      </w:pPr>
      <w:r>
        <w:t>Site Visit Registration Form</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2" w:name="_Toc147832049"/>
      <w:r w:rsidRPr="00111CB9">
        <w:t>TIMELINE</w:t>
      </w:r>
      <w:bookmarkEnd w:id="13"/>
      <w:bookmarkEnd w:id="14"/>
      <w:bookmarkEnd w:id="15"/>
      <w:bookmarkEnd w:id="16"/>
      <w:bookmarkEnd w:id="17"/>
      <w:bookmarkEnd w:id="18"/>
      <w:bookmarkEnd w:id="19"/>
      <w:bookmarkEnd w:id="22"/>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56350D38" w14:textId="1E42A3C4" w:rsidR="00522CDE" w:rsidRPr="00E1791B" w:rsidRDefault="00522CDE" w:rsidP="00522CDE">
      <w:pPr>
        <w:numPr>
          <w:ilvl w:val="3"/>
          <w:numId w:val="29"/>
        </w:numPr>
        <w:tabs>
          <w:tab w:val="right" w:pos="10080"/>
        </w:tabs>
        <w:outlineLvl w:val="3"/>
        <w:rPr>
          <w:bCs/>
          <w:szCs w:val="24"/>
        </w:rPr>
      </w:pPr>
      <w:r w:rsidRPr="00E1791B">
        <w:rPr>
          <w:bCs/>
          <w:szCs w:val="24"/>
        </w:rPr>
        <w:t>Mandatory Site Visit Registration Due</w:t>
      </w:r>
      <w:r w:rsidRPr="00E1791B">
        <w:rPr>
          <w:bCs/>
          <w:szCs w:val="24"/>
          <w:u w:val="dotted"/>
        </w:rPr>
        <w:tab/>
      </w:r>
      <w:r w:rsidRPr="00E1791B">
        <w:rPr>
          <w:bCs/>
          <w:szCs w:val="24"/>
        </w:rPr>
        <w:t xml:space="preserve">No later than </w:t>
      </w:r>
      <w:r>
        <w:rPr>
          <w:bCs/>
          <w:szCs w:val="24"/>
        </w:rPr>
        <w:t>3</w:t>
      </w:r>
      <w:r w:rsidRPr="00E1791B">
        <w:rPr>
          <w:bCs/>
          <w:szCs w:val="24"/>
        </w:rPr>
        <w:t xml:space="preserve">:00 pm on </w:t>
      </w:r>
      <w:r>
        <w:rPr>
          <w:bCs/>
          <w:szCs w:val="24"/>
        </w:rPr>
        <w:t>10/23</w:t>
      </w:r>
      <w:r w:rsidRPr="00E1791B">
        <w:rPr>
          <w:bCs/>
          <w:szCs w:val="24"/>
        </w:rPr>
        <w:t>/202</w:t>
      </w:r>
      <w:r>
        <w:rPr>
          <w:bCs/>
          <w:szCs w:val="24"/>
        </w:rPr>
        <w:t>3</w:t>
      </w:r>
    </w:p>
    <w:p w14:paraId="63D93471" w14:textId="0C16781D" w:rsidR="00522CDE" w:rsidRPr="00522CDE" w:rsidRDefault="00522CDE" w:rsidP="000A5780">
      <w:pPr>
        <w:numPr>
          <w:ilvl w:val="3"/>
          <w:numId w:val="29"/>
        </w:numPr>
        <w:tabs>
          <w:tab w:val="right" w:pos="10080"/>
        </w:tabs>
        <w:outlineLvl w:val="3"/>
        <w:rPr>
          <w:bCs/>
          <w:szCs w:val="24"/>
        </w:rPr>
      </w:pPr>
      <w:r w:rsidRPr="00E1791B">
        <w:rPr>
          <w:bCs/>
          <w:szCs w:val="24"/>
        </w:rPr>
        <w:t>Mandatory Site Visit</w:t>
      </w:r>
      <w:r w:rsidRPr="00E1791B">
        <w:rPr>
          <w:bCs/>
          <w:szCs w:val="24"/>
          <w:u w:val="dotted"/>
        </w:rPr>
        <w:tab/>
      </w:r>
      <w:r>
        <w:rPr>
          <w:bCs/>
          <w:szCs w:val="24"/>
        </w:rPr>
        <w:t>8:30</w:t>
      </w:r>
      <w:r w:rsidRPr="00E1791B">
        <w:rPr>
          <w:bCs/>
          <w:szCs w:val="24"/>
        </w:rPr>
        <w:t xml:space="preserve"> </w:t>
      </w:r>
      <w:r>
        <w:rPr>
          <w:bCs/>
          <w:szCs w:val="24"/>
        </w:rPr>
        <w:t>a</w:t>
      </w:r>
      <w:r w:rsidRPr="00E1791B">
        <w:rPr>
          <w:bCs/>
          <w:szCs w:val="24"/>
        </w:rPr>
        <w:t xml:space="preserve">m on </w:t>
      </w:r>
      <w:r>
        <w:rPr>
          <w:bCs/>
          <w:szCs w:val="24"/>
        </w:rPr>
        <w:t>10/24</w:t>
      </w:r>
      <w:r w:rsidRPr="00E1791B">
        <w:rPr>
          <w:bCs/>
          <w:szCs w:val="24"/>
        </w:rPr>
        <w:t>/202</w:t>
      </w:r>
      <w:r>
        <w:rPr>
          <w:bCs/>
          <w:szCs w:val="24"/>
        </w:rPr>
        <w:t>3</w:t>
      </w:r>
    </w:p>
    <w:p w14:paraId="3C161C2F" w14:textId="5A46A486" w:rsidR="000A5780" w:rsidRPr="009B21A9" w:rsidRDefault="000A5780" w:rsidP="009B21A9">
      <w:pPr>
        <w:pStyle w:val="Heading4"/>
      </w:pPr>
      <w:r w:rsidRPr="009B21A9">
        <w:t>Deadline for Questions</w:t>
      </w:r>
      <w:r w:rsidRPr="009B21A9">
        <w:tab/>
        <w:t xml:space="preserve">No later than 5:00 pm on </w:t>
      </w:r>
      <w:r w:rsidR="00522CDE">
        <w:t>10/26/2023</w:t>
      </w:r>
    </w:p>
    <w:p w14:paraId="3743F8DD" w14:textId="1F418089" w:rsidR="000A5780" w:rsidRPr="009B21A9" w:rsidRDefault="000A5780" w:rsidP="009B21A9">
      <w:pPr>
        <w:pStyle w:val="Heading4"/>
      </w:pPr>
      <w:r w:rsidRPr="009B21A9">
        <w:t>Answers Posted</w:t>
      </w:r>
      <w:r w:rsidRPr="009B21A9">
        <w:tab/>
        <w:t xml:space="preserve">On or about </w:t>
      </w:r>
      <w:r w:rsidR="00522CDE">
        <w:t>11/02/2023</w:t>
      </w:r>
    </w:p>
    <w:p w14:paraId="45AEFC31" w14:textId="5733410C" w:rsidR="000A5780" w:rsidRPr="009B21A9" w:rsidRDefault="000A5780" w:rsidP="009B21A9">
      <w:pPr>
        <w:pStyle w:val="Heading4"/>
      </w:pPr>
      <w:r w:rsidRPr="009B21A9">
        <w:t>Deadline for References</w:t>
      </w:r>
      <w:r w:rsidRPr="009B21A9">
        <w:tab/>
        <w:t xml:space="preserve">No later than 5:00 pm on </w:t>
      </w:r>
      <w:r w:rsidR="00522CDE">
        <w:t>11/08/2023</w:t>
      </w:r>
    </w:p>
    <w:p w14:paraId="650DCFB2" w14:textId="2E148502" w:rsidR="000A5780" w:rsidRPr="009B21A9" w:rsidRDefault="000A5780" w:rsidP="009B21A9">
      <w:pPr>
        <w:pStyle w:val="Heading4"/>
      </w:pPr>
      <w:r w:rsidRPr="009B21A9">
        <w:t>Deadline Proposal Submission and Opening</w:t>
      </w:r>
      <w:r w:rsidRPr="009B21A9">
        <w:tab/>
        <w:t xml:space="preserve">No later than 2:00 pm on </w:t>
      </w:r>
      <w:r w:rsidR="00522CDE">
        <w:t>11/13/2023</w:t>
      </w:r>
    </w:p>
    <w:p w14:paraId="5DE5CF15" w14:textId="2449ED06" w:rsidR="000A5780" w:rsidRPr="009B21A9" w:rsidRDefault="000A5780" w:rsidP="009B21A9">
      <w:pPr>
        <w:pStyle w:val="Heading4"/>
      </w:pPr>
      <w:r w:rsidRPr="009B21A9">
        <w:t>Evaluation Period (estimated)</w:t>
      </w:r>
      <w:r w:rsidRPr="009B21A9">
        <w:tab/>
      </w:r>
      <w:r w:rsidR="00522CDE">
        <w:t>11/13/2023</w:t>
      </w:r>
      <w:r w:rsidRPr="009B21A9">
        <w:t xml:space="preserve"> </w:t>
      </w:r>
      <w:r w:rsidR="00522CDE">
        <w:t>–</w:t>
      </w:r>
      <w:r w:rsidRPr="009B21A9">
        <w:t xml:space="preserve"> </w:t>
      </w:r>
      <w:r w:rsidR="00522CDE">
        <w:t>11/21/2023</w:t>
      </w:r>
    </w:p>
    <w:p w14:paraId="53E748E8" w14:textId="542DE574" w:rsidR="002519E8" w:rsidRPr="009B21A9" w:rsidRDefault="002519E8" w:rsidP="002519E8">
      <w:pPr>
        <w:pStyle w:val="Heading4"/>
      </w:pPr>
      <w:r>
        <w:t>Notice of Intent</w:t>
      </w:r>
      <w:r w:rsidRPr="009B21A9">
        <w:t xml:space="preserve"> (estimated)</w:t>
      </w:r>
      <w:r w:rsidRPr="009B21A9">
        <w:tab/>
        <w:t xml:space="preserve">On or about </w:t>
      </w:r>
      <w:r w:rsidR="00522CDE">
        <w:t>11/21/2023</w:t>
      </w:r>
    </w:p>
    <w:p w14:paraId="249D90AC" w14:textId="1D9DB9C6"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522CDE">
        <w:t>12/05/2023</w:t>
      </w:r>
    </w:p>
    <w:p w14:paraId="4BC3DD84" w14:textId="2003CBFB" w:rsidR="000A5780" w:rsidRPr="009B21A9" w:rsidRDefault="000A5780" w:rsidP="009B21A9">
      <w:pPr>
        <w:pStyle w:val="Heading4"/>
      </w:pPr>
      <w:r w:rsidRPr="009B21A9">
        <w:t>BOE Approval (estimated)</w:t>
      </w:r>
      <w:r w:rsidRPr="009B21A9">
        <w:tab/>
      </w:r>
      <w:r w:rsidR="00522CDE">
        <w:t>02/13/2024</w:t>
      </w:r>
    </w:p>
    <w:p w14:paraId="3415F249" w14:textId="74FD4D80" w:rsidR="000A5780" w:rsidRPr="009B21A9" w:rsidRDefault="000A5780" w:rsidP="009B21A9">
      <w:pPr>
        <w:pStyle w:val="Heading4"/>
      </w:pPr>
      <w:r w:rsidRPr="009B21A9">
        <w:t>Contract start date (estimated)</w:t>
      </w:r>
      <w:r w:rsidRPr="009B21A9">
        <w:tab/>
      </w:r>
      <w:r w:rsidR="00522CDE">
        <w:t>02/13/2024</w:t>
      </w:r>
    </w:p>
    <w:p w14:paraId="7AA98AC3" w14:textId="08614AE9" w:rsidR="000A5780" w:rsidRDefault="001B3E1C" w:rsidP="001B3E1C">
      <w:pPr>
        <w:widowControl/>
        <w:ind w:left="1080" w:hanging="1080"/>
        <w:contextualSpacing w:val="0"/>
      </w:pPr>
      <w:r>
        <w:br w:type="page"/>
      </w:r>
    </w:p>
    <w:p w14:paraId="089DDCDB" w14:textId="3D996A4D" w:rsidR="00104A2B" w:rsidRPr="0017635B" w:rsidRDefault="00104A2B" w:rsidP="00A33A03">
      <w:pPr>
        <w:pStyle w:val="Heading1"/>
      </w:pPr>
      <w:bookmarkStart w:id="23" w:name="_Toc70363821"/>
      <w:bookmarkStart w:id="24" w:name="_Toc70367356"/>
      <w:bookmarkStart w:id="25" w:name="_Toc147832050"/>
      <w:r w:rsidRPr="0017635B">
        <w:lastRenderedPageBreak/>
        <w:t>EVALUATION</w:t>
      </w:r>
      <w:bookmarkEnd w:id="23"/>
      <w:bookmarkEnd w:id="24"/>
      <w:bookmarkEnd w:id="25"/>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114F8054" w:rsidR="00104A2B" w:rsidRPr="001324B9" w:rsidRDefault="00370F2B" w:rsidP="009B21A9">
      <w:pPr>
        <w:pStyle w:val="Heading4"/>
      </w:pPr>
      <w:r w:rsidRPr="00370F2B">
        <w:t>Experience in Performance of Comparable Engagements</w:t>
      </w:r>
      <w:r w:rsidR="00104A2B" w:rsidRPr="001324B9">
        <w:tab/>
      </w:r>
      <w:r>
        <w:t>30</w:t>
      </w:r>
    </w:p>
    <w:p w14:paraId="73BA5567" w14:textId="6DCC3051" w:rsidR="00104A2B" w:rsidRPr="001324B9" w:rsidRDefault="00370F2B" w:rsidP="00370F2B">
      <w:pPr>
        <w:pStyle w:val="Heading4"/>
      </w:pPr>
      <w:bookmarkStart w:id="26" w:name="_Hlk147495510"/>
      <w:r w:rsidRPr="00370F2B">
        <w:t>Demonstrated Competence</w:t>
      </w:r>
      <w:r>
        <w:t xml:space="preserve"> </w:t>
      </w:r>
      <w:bookmarkEnd w:id="26"/>
      <w:r w:rsidR="00104A2B" w:rsidRPr="001324B9">
        <w:tab/>
      </w:r>
      <w:r>
        <w:t>20</w:t>
      </w:r>
    </w:p>
    <w:p w14:paraId="4E6B54BE" w14:textId="4A217FD0" w:rsidR="00104A2B" w:rsidRPr="001324B9" w:rsidRDefault="00370F2B" w:rsidP="009B21A9">
      <w:pPr>
        <w:pStyle w:val="Heading4"/>
      </w:pPr>
      <w:r w:rsidRPr="00370F2B">
        <w:t>Expertise and Availability of Key Personnel</w:t>
      </w:r>
      <w:r w:rsidR="00104A2B" w:rsidRPr="001324B9">
        <w:tab/>
      </w:r>
      <w:r>
        <w:t>20</w:t>
      </w:r>
    </w:p>
    <w:p w14:paraId="069ECE79" w14:textId="48E7E973" w:rsidR="00104A2B" w:rsidRPr="001324B9" w:rsidRDefault="00370F2B" w:rsidP="009B21A9">
      <w:pPr>
        <w:pStyle w:val="Heading4"/>
      </w:pPr>
      <w:r>
        <w:t>Cost</w:t>
      </w:r>
      <w:r w:rsidR="00104A2B" w:rsidRPr="001324B9">
        <w:tab/>
      </w:r>
      <w:r>
        <w:t>20</w:t>
      </w:r>
    </w:p>
    <w:p w14:paraId="1563BC72" w14:textId="5A6CE0DA" w:rsidR="00104A2B" w:rsidRPr="001324B9" w:rsidRDefault="00370F2B" w:rsidP="009B21A9">
      <w:pPr>
        <w:pStyle w:val="Heading4"/>
      </w:pPr>
      <w:r w:rsidRPr="00370F2B">
        <w:t>Conformance with the Terms of this RFP</w:t>
      </w:r>
      <w:r w:rsidR="00104A2B" w:rsidRPr="001324B9">
        <w:tab/>
      </w:r>
      <w:r>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B37D22">
      <w:pPr>
        <w:pStyle w:val="Heading3"/>
        <w:ind w:right="54"/>
      </w:pPr>
      <w:r>
        <w:t>To claim this preference a vendor must indicate it on their vendor account and submitted 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7"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77777777" w:rsidR="00B37D22" w:rsidRDefault="00B37D22" w:rsidP="00B37D22">
      <w:pPr>
        <w:pStyle w:val="Heading3"/>
        <w:ind w:right="54"/>
      </w:pPr>
      <w:r>
        <w:t>Vendors who meet this criterion must indicated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7"/>
    <w:p w14:paraId="2356A012" w14:textId="77777777" w:rsidR="00104A2B" w:rsidRPr="00111CB9" w:rsidRDefault="00104A2B" w:rsidP="00104A2B"/>
    <w:p w14:paraId="2BD66B70" w14:textId="4105F5A4" w:rsidR="00C0347B" w:rsidRPr="00B66FFF" w:rsidRDefault="00C0347B" w:rsidP="00A33A03">
      <w:pPr>
        <w:pStyle w:val="Heading1"/>
      </w:pPr>
      <w:bookmarkStart w:id="28" w:name="_Toc147832051"/>
      <w:r w:rsidRPr="00B66FFF">
        <w:t xml:space="preserve">MANDATORY </w:t>
      </w:r>
      <w:r w:rsidR="00CF52F6" w:rsidRPr="00B66FFF">
        <w:t>MINIMUM REQUIREMENTS</w:t>
      </w:r>
      <w:bookmarkEnd w:id="20"/>
      <w:bookmarkEnd w:id="21"/>
      <w:bookmarkEnd w:id="28"/>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01E97C" w14:textId="67F3DF61" w:rsidR="00323303" w:rsidRDefault="001B3E1C" w:rsidP="001B3E1C">
      <w:pPr>
        <w:widowControl/>
        <w:ind w:left="1080" w:hanging="1080"/>
        <w:contextualSpacing w:val="0"/>
      </w:pPr>
      <w:r>
        <w:br w:type="page"/>
      </w:r>
    </w:p>
    <w:p w14:paraId="29BFD471" w14:textId="59B76FB7" w:rsidR="00C25667" w:rsidRPr="00E07DDD" w:rsidRDefault="006245FC" w:rsidP="00B05314">
      <w:pPr>
        <w:pStyle w:val="Heading2"/>
      </w:pPr>
      <w:r>
        <w:lastRenderedPageBreak/>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9" w:name="_Toc70363818"/>
      <w:bookmarkStart w:id="30" w:name="_Toc70367353"/>
      <w:bookmarkStart w:id="31" w:name="_Toc147832052"/>
      <w:r w:rsidRPr="00B66FFF">
        <w:t>CRITICAL ITEMS</w:t>
      </w:r>
      <w:bookmarkEnd w:id="29"/>
      <w:bookmarkEnd w:id="30"/>
      <w:bookmarkEnd w:id="31"/>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144FAB36" w14:textId="4F67EAD7" w:rsidR="007F5906" w:rsidRPr="007F5906" w:rsidRDefault="001B3E1C" w:rsidP="001B3E1C">
      <w:pPr>
        <w:widowControl/>
        <w:ind w:left="1080" w:hanging="1080"/>
        <w:contextualSpacing w:val="0"/>
      </w:pPr>
      <w:r>
        <w:br w:type="page"/>
      </w:r>
    </w:p>
    <w:p w14:paraId="480C4414" w14:textId="77777777" w:rsidR="00485BEA" w:rsidRPr="00E07DDD" w:rsidRDefault="00485BEA" w:rsidP="00B05314">
      <w:pPr>
        <w:pStyle w:val="Heading2"/>
      </w:pPr>
      <w:r w:rsidRPr="00E07DDD">
        <w:lastRenderedPageBreak/>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4C236423" w14:textId="77777777" w:rsidR="00B317CA" w:rsidRDefault="00B317CA" w:rsidP="00B317CA">
      <w:pPr>
        <w:pStyle w:val="Heading4"/>
        <w:numPr>
          <w:ilvl w:val="0"/>
          <w:numId w:val="0"/>
        </w:numPr>
        <w:ind w:left="1080"/>
      </w:pPr>
    </w:p>
    <w:p w14:paraId="0DDC8C1B" w14:textId="52060610"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60A92B18" w:rsidR="001B3E1C" w:rsidRDefault="001B3E1C">
      <w:pPr>
        <w:widowControl/>
        <w:ind w:left="1080" w:hanging="1080"/>
        <w:contextualSpacing w:val="0"/>
      </w:pPr>
      <w:r>
        <w:br w:type="page"/>
      </w:r>
    </w:p>
    <w:p w14:paraId="54E734A0" w14:textId="77777777" w:rsidR="00FB5CB5" w:rsidRDefault="00FB5CB5" w:rsidP="00FB5CB5"/>
    <w:p w14:paraId="1C631AED" w14:textId="77777777" w:rsidR="004D3B3F" w:rsidRPr="00111CB9" w:rsidRDefault="004D3B3F" w:rsidP="00A33A03">
      <w:pPr>
        <w:pStyle w:val="Heading1"/>
      </w:pPr>
      <w:bookmarkStart w:id="32" w:name="_Toc65138429"/>
      <w:bookmarkStart w:id="33" w:name="_Toc66176037"/>
      <w:bookmarkStart w:id="34" w:name="_Toc70363820"/>
      <w:bookmarkStart w:id="35" w:name="_Toc70367355"/>
      <w:bookmarkStart w:id="36" w:name="_Toc147832053"/>
      <w:r w:rsidRPr="00111CB9">
        <w:t>SUBMISSION CHECKLIST</w:t>
      </w:r>
      <w:bookmarkEnd w:id="32"/>
      <w:bookmarkEnd w:id="33"/>
      <w:bookmarkEnd w:id="34"/>
      <w:bookmarkEnd w:id="35"/>
      <w:bookmarkEnd w:id="36"/>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5"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6"/>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4B10ABD0"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8C419F">
      <w:rPr>
        <w:i/>
        <w:iCs/>
      </w:rPr>
      <w:t>08DOA-S2537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636C"/>
    <w:rsid w:val="000371D0"/>
    <w:rsid w:val="0004287A"/>
    <w:rsid w:val="00044217"/>
    <w:rsid w:val="0004689E"/>
    <w:rsid w:val="0004767C"/>
    <w:rsid w:val="00050C86"/>
    <w:rsid w:val="00051D94"/>
    <w:rsid w:val="00060594"/>
    <w:rsid w:val="0007400C"/>
    <w:rsid w:val="000765A2"/>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1F9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B3E1C"/>
    <w:rsid w:val="001C067D"/>
    <w:rsid w:val="001C2AB5"/>
    <w:rsid w:val="001C645E"/>
    <w:rsid w:val="001D00CF"/>
    <w:rsid w:val="001D14F1"/>
    <w:rsid w:val="001D44B2"/>
    <w:rsid w:val="001D7FFA"/>
    <w:rsid w:val="001E3457"/>
    <w:rsid w:val="001E58EC"/>
    <w:rsid w:val="001E641C"/>
    <w:rsid w:val="001F7449"/>
    <w:rsid w:val="0020029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5031"/>
    <w:rsid w:val="002566A1"/>
    <w:rsid w:val="00262766"/>
    <w:rsid w:val="00262D92"/>
    <w:rsid w:val="00264A21"/>
    <w:rsid w:val="0027159D"/>
    <w:rsid w:val="00272312"/>
    <w:rsid w:val="002727A2"/>
    <w:rsid w:val="00281323"/>
    <w:rsid w:val="0028370B"/>
    <w:rsid w:val="00284FD2"/>
    <w:rsid w:val="002934F0"/>
    <w:rsid w:val="0029420B"/>
    <w:rsid w:val="00294C68"/>
    <w:rsid w:val="002A20BC"/>
    <w:rsid w:val="002B64E4"/>
    <w:rsid w:val="002B726B"/>
    <w:rsid w:val="002B7BB9"/>
    <w:rsid w:val="002C3CE4"/>
    <w:rsid w:val="002C66DA"/>
    <w:rsid w:val="002D1A68"/>
    <w:rsid w:val="002E15D7"/>
    <w:rsid w:val="002E1AD5"/>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0F2B"/>
    <w:rsid w:val="0037204D"/>
    <w:rsid w:val="00372CF6"/>
    <w:rsid w:val="00376AC2"/>
    <w:rsid w:val="00377C68"/>
    <w:rsid w:val="00380ED7"/>
    <w:rsid w:val="003837AC"/>
    <w:rsid w:val="003839CC"/>
    <w:rsid w:val="00393719"/>
    <w:rsid w:val="00396143"/>
    <w:rsid w:val="003A32F7"/>
    <w:rsid w:val="003A37B2"/>
    <w:rsid w:val="003A4702"/>
    <w:rsid w:val="003A4F47"/>
    <w:rsid w:val="003A716F"/>
    <w:rsid w:val="003B1ECB"/>
    <w:rsid w:val="003B3BFC"/>
    <w:rsid w:val="003B3F79"/>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C6DD7"/>
    <w:rsid w:val="004D1F62"/>
    <w:rsid w:val="004D3B3F"/>
    <w:rsid w:val="004D7D81"/>
    <w:rsid w:val="004E04B0"/>
    <w:rsid w:val="004E097E"/>
    <w:rsid w:val="004E0F3B"/>
    <w:rsid w:val="004E25D0"/>
    <w:rsid w:val="004F2D52"/>
    <w:rsid w:val="004F45EE"/>
    <w:rsid w:val="00501C93"/>
    <w:rsid w:val="00502439"/>
    <w:rsid w:val="00506702"/>
    <w:rsid w:val="00512951"/>
    <w:rsid w:val="00513FA5"/>
    <w:rsid w:val="005179C8"/>
    <w:rsid w:val="005224A8"/>
    <w:rsid w:val="00522CDE"/>
    <w:rsid w:val="00524655"/>
    <w:rsid w:val="005374CB"/>
    <w:rsid w:val="0054249A"/>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D4E02"/>
    <w:rsid w:val="006D78AA"/>
    <w:rsid w:val="006E1CCE"/>
    <w:rsid w:val="006E4643"/>
    <w:rsid w:val="006F1C69"/>
    <w:rsid w:val="006F368F"/>
    <w:rsid w:val="006F64EA"/>
    <w:rsid w:val="006F6504"/>
    <w:rsid w:val="00701D87"/>
    <w:rsid w:val="00704656"/>
    <w:rsid w:val="007126C0"/>
    <w:rsid w:val="007133E8"/>
    <w:rsid w:val="00720184"/>
    <w:rsid w:val="00721149"/>
    <w:rsid w:val="00725332"/>
    <w:rsid w:val="007261FD"/>
    <w:rsid w:val="007270C7"/>
    <w:rsid w:val="00730597"/>
    <w:rsid w:val="007326E5"/>
    <w:rsid w:val="0073350E"/>
    <w:rsid w:val="00734A07"/>
    <w:rsid w:val="0075236F"/>
    <w:rsid w:val="00756043"/>
    <w:rsid w:val="007560D7"/>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0B9"/>
    <w:rsid w:val="0085550D"/>
    <w:rsid w:val="0085760D"/>
    <w:rsid w:val="0086378C"/>
    <w:rsid w:val="00864B43"/>
    <w:rsid w:val="00867274"/>
    <w:rsid w:val="00873F92"/>
    <w:rsid w:val="00875B0F"/>
    <w:rsid w:val="00876B0B"/>
    <w:rsid w:val="00876C65"/>
    <w:rsid w:val="00890020"/>
    <w:rsid w:val="008A02CB"/>
    <w:rsid w:val="008B2AAF"/>
    <w:rsid w:val="008B3202"/>
    <w:rsid w:val="008B4C30"/>
    <w:rsid w:val="008B77CB"/>
    <w:rsid w:val="008B7EA8"/>
    <w:rsid w:val="008C419F"/>
    <w:rsid w:val="008C7154"/>
    <w:rsid w:val="008D4B2D"/>
    <w:rsid w:val="008E2147"/>
    <w:rsid w:val="008E44AD"/>
    <w:rsid w:val="008E6ECA"/>
    <w:rsid w:val="008F2098"/>
    <w:rsid w:val="008F5CF1"/>
    <w:rsid w:val="009033CE"/>
    <w:rsid w:val="00916527"/>
    <w:rsid w:val="00917638"/>
    <w:rsid w:val="00924DBD"/>
    <w:rsid w:val="00927EEF"/>
    <w:rsid w:val="00931C7B"/>
    <w:rsid w:val="00932D12"/>
    <w:rsid w:val="00944BBF"/>
    <w:rsid w:val="0095261E"/>
    <w:rsid w:val="00961CD9"/>
    <w:rsid w:val="00966987"/>
    <w:rsid w:val="00970BC2"/>
    <w:rsid w:val="00973CBD"/>
    <w:rsid w:val="009745E2"/>
    <w:rsid w:val="00975C32"/>
    <w:rsid w:val="00976775"/>
    <w:rsid w:val="009970B1"/>
    <w:rsid w:val="009977C9"/>
    <w:rsid w:val="00997A44"/>
    <w:rsid w:val="009A6621"/>
    <w:rsid w:val="009A6FB4"/>
    <w:rsid w:val="009A7578"/>
    <w:rsid w:val="009B21A9"/>
    <w:rsid w:val="009B6674"/>
    <w:rsid w:val="009C4E31"/>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0FAB"/>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17CA"/>
    <w:rsid w:val="00B330D9"/>
    <w:rsid w:val="00B37D22"/>
    <w:rsid w:val="00B41D60"/>
    <w:rsid w:val="00B5366F"/>
    <w:rsid w:val="00B53D23"/>
    <w:rsid w:val="00B5576F"/>
    <w:rsid w:val="00B57DA8"/>
    <w:rsid w:val="00B640C1"/>
    <w:rsid w:val="00B65D63"/>
    <w:rsid w:val="00B66FFF"/>
    <w:rsid w:val="00B708CE"/>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687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DF7E53"/>
    <w:rsid w:val="00E038C3"/>
    <w:rsid w:val="00E07DDD"/>
    <w:rsid w:val="00E25B90"/>
    <w:rsid w:val="00E30F6F"/>
    <w:rsid w:val="00E32D15"/>
    <w:rsid w:val="00E37D77"/>
    <w:rsid w:val="00E40419"/>
    <w:rsid w:val="00E42162"/>
    <w:rsid w:val="00E42AE4"/>
    <w:rsid w:val="00E442F4"/>
    <w:rsid w:val="00E473D9"/>
    <w:rsid w:val="00E47716"/>
    <w:rsid w:val="00E50179"/>
    <w:rsid w:val="00E572AD"/>
    <w:rsid w:val="00E73B90"/>
    <w:rsid w:val="00E76C2C"/>
    <w:rsid w:val="00E7714A"/>
    <w:rsid w:val="00E8065E"/>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07232"/>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qFormat/>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54249A"/>
    <w:rPr>
      <w:color w:val="605E5C"/>
      <w:shd w:val="clear" w:color="auto" w:fill="E1DFDD"/>
    </w:rPr>
  </w:style>
  <w:style w:type="character" w:styleId="FollowedHyperlink">
    <w:name w:val="FollowedHyperlink"/>
    <w:basedOn w:val="DefaultParagraphFont"/>
    <w:uiPriority w:val="99"/>
    <w:semiHidden/>
    <w:unhideWhenUsed/>
    <w:rsid w:val="002002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smedes@admin.nv.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nevadaepro.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r.nv.gov/uploadedFiles/hrnvgov/Content/About/State%20Holiday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5</TotalTime>
  <Pages>8</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2</cp:revision>
  <cp:lastPrinted>2021-03-03T00:07:00Z</cp:lastPrinted>
  <dcterms:created xsi:type="dcterms:W3CDTF">2023-10-11T15:35:00Z</dcterms:created>
  <dcterms:modified xsi:type="dcterms:W3CDTF">2023-10-11T15:35:00Z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