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360" w:line="300" w:lineRule="auto"/>
        <w:jc w:val="center"/>
      </w:pPr>
      <w:r>
        <w:rPr>
          <w:rFonts w:ascii="Times New Roman" w:cs="Times New Roman" w:eastAsia="Times New Roman" w:hAnsi="Times New Roman"/>
          <w:b/>
          <w:bCs/>
          <w:sz w:val="30"/>
          <w:szCs w:val="30"/>
        </w:rPr>
        <w:t xml:space="preserve">Widespread Yield Variable Engagement Rapid-response Neutralizer (Experimental Version 4): Engineering Design and Experimental Validation of Closed PID Loop Thrust-Vector Control, Ultra-Low-Cost Additive-Manufacturing Materials, and Wind-Tunnel Aerodynamic Evaluation in a Subscale-Demonstrator Computer Guided Solid-Fueled Rocket Prototype</w:t>
      </w:r>
    </w:p>
    <w:p>
      <w:pPr>
        <w:spacing w:after="120"/>
        <w:jc w:val="center"/>
      </w:pPr>
      <w:r>
        <w:rPr>
          <w:rFonts w:ascii="Times New Roman" w:cs="Times New Roman" w:eastAsia="Times New Roman" w:hAnsi="Times New Roman"/>
          <w:sz w:val="24"/>
          <w:szCs w:val="24"/>
        </w:rPr>
        <w:t xml:space="preserve">Allison Hong, Chris Liu, Swaroop K. Sahoo</w:t>
      </w:r>
    </w:p>
    <w:p>
      <w:pPr>
        <w:jc w:val="center"/>
      </w:pPr>
      <w:r>
        <w:rPr>
          <w:rFonts w:ascii="Times New Roman" w:cs="Times New Roman" w:eastAsia="Times New Roman" w:hAnsi="Times New Roman"/>
          <w:sz w:val="24"/>
          <w:szCs w:val="24"/>
        </w:rPr>
        <w:t xml:space="preserve">Revised July 9th, 2026</w:t>
      </w:r>
    </w:p>
    <w:p>
      <w:pPr>
        <w:sectPr>
          <w:pgSz w:w="12240" w:h="15840" w:orient="portrait"/>
          <w:pgMar w:top="1440" w:right="1440" w:bottom="1440" w:left="1440" w:header="708" w:footer="708" w:gutter="0"/>
          <w:pgNumType/>
          <w:docGrid w:linePitch="360"/>
        </w:sectPr>
      </w:pPr>
    </w:p>
    <w:p>
      <w:pPr>
        <w:pStyle w:val="Heading1"/>
        <w:spacing w:after="140" w:before="240"/>
      </w:pPr>
      <w:r>
        <w:rPr>
          <w:rFonts w:ascii="Times New Roman" w:cs="Times New Roman" w:eastAsia="Times New Roman" w:hAnsi="Times New Roman"/>
          <w:b/>
          <w:bCs/>
          <w:sz w:val="36"/>
          <w:szCs w:val="36"/>
        </w:rPr>
        <w:t xml:space="preserve">Table of Contents</w:t>
      </w:r>
    </w:p>
    <w:p>
      <w:pPr>
        <w:tabs>
          <w:tab w:val="right" w:pos="9360" w:leader="dot"/>
        </w:tabs>
        <w:spacing w:after="40" w:line="276" w:lineRule="auto"/>
      </w:pPr>
      <w:r>
        <w:rPr>
          <w:rFonts w:ascii="Times New Roman" w:cs="Times New Roman" w:eastAsia="Times New Roman" w:hAnsi="Times New Roman"/>
          <w:b/>
          <w:bCs/>
          <w:sz w:val="24"/>
          <w:szCs w:val="24"/>
        </w:rPr>
        <w:t xml:space="preserve">Student 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p>
    <w:p>
      <w:pPr>
        <w:tabs>
          <w:tab w:val="right" w:pos="9360" w:leader="dot"/>
        </w:tabs>
        <w:spacing w:after="40" w:line="276" w:lineRule="auto"/>
      </w:pPr>
      <w:r>
        <w:rPr>
          <w:rFonts w:ascii="Times New Roman" w:cs="Times New Roman" w:eastAsia="Times New Roman" w:hAnsi="Times New Roman"/>
          <w:b/>
          <w:bCs/>
          <w:sz w:val="24"/>
          <w:szCs w:val="24"/>
        </w:rPr>
        <w:t xml:space="preserve">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p>
    <w:p>
      <w:pPr>
        <w:tabs>
          <w:tab w:val="right" w:pos="9360" w:leader="dot"/>
        </w:tabs>
        <w:spacing w:after="40" w:line="276" w:lineRule="auto"/>
      </w:pPr>
      <w:r>
        <w:rPr>
          <w:rFonts w:ascii="Times New Roman" w:cs="Times New Roman" w:eastAsia="Times New Roman" w:hAnsi="Times New Roman"/>
          <w:b/>
          <w:bCs/>
          <w:sz w:val="24"/>
          <w:szCs w:val="24"/>
        </w:rPr>
        <w:t xml:space="preserve">Research Questions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Research Question 1 - Magnetic-Solenoid versus Servo Actuation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Research Question 2 - Zone-Specific 3D-Printable Materials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Research Question 3 - Aerofoil Profile Efficiency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Research Question 4 - Wind-Tunnel Calibration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Research Question 5 - Closed-Loop Control Gain Sensitivity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w:t>
      </w:r>
    </w:p>
    <w:p>
      <w:pPr>
        <w:tabs>
          <w:tab w:val="right" w:pos="9360" w:leader="dot"/>
        </w:tabs>
        <w:spacing w:after="40" w:line="276" w:lineRule="auto"/>
      </w:pPr>
      <w:r>
        <w:rPr>
          <w:rFonts w:ascii="Times New Roman" w:cs="Times New Roman" w:eastAsia="Times New Roman" w:hAnsi="Times New Roman"/>
          <w:b/>
          <w:bCs/>
          <w:sz w:val="24"/>
          <w:szCs w:val="24"/>
        </w:rPr>
        <w:t xml:space="preserve">Project Goal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w:t>
      </w:r>
    </w:p>
    <w:p>
      <w:pPr>
        <w:tabs>
          <w:tab w:val="right" w:pos="9360" w:leader="dot"/>
        </w:tabs>
        <w:spacing w:after="40" w:line="276" w:lineRule="auto"/>
      </w:pPr>
      <w:r>
        <w:rPr>
          <w:rFonts w:ascii="Times New Roman" w:cs="Times New Roman" w:eastAsia="Times New Roman" w:hAnsi="Times New Roman"/>
          <w:b/>
          <w:bCs/>
          <w:sz w:val="24"/>
          <w:szCs w:val="24"/>
        </w:rPr>
        <w:t xml:space="preserve">Proposed Methodologies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Airframe and Materials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Fins and Aerofoil Profiles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6</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Flight Computer Systems and Avionics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6</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Ground Test Stands and Actuator Comparison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8</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Recovery 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9</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Simulations, Firmware, and Modelling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9</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Wind Tunnel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10</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Flights, Logs, and Data Sharing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10</w:t>
      </w:r>
    </w:p>
    <w:p>
      <w:pPr>
        <w:tabs>
          <w:tab w:val="right" w:pos="9360" w:leader="dot"/>
        </w:tabs>
        <w:spacing w:after="40" w:line="276" w:lineRule="auto"/>
      </w:pPr>
      <w:r>
        <w:rPr>
          <w:rFonts w:ascii="Times New Roman" w:cs="Times New Roman" w:eastAsia="Times New Roman" w:hAnsi="Times New Roman"/>
          <w:b/>
          <w:bCs/>
          <w:sz w:val="24"/>
          <w:szCs w:val="24"/>
        </w:rPr>
        <w:t xml:space="preserve">Expected Outcomes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11</w:t>
      </w:r>
    </w:p>
    <w:p>
      <w:pPr>
        <w:tabs>
          <w:tab w:val="right" w:pos="9360" w:leader="dot"/>
        </w:tabs>
        <w:spacing w:after="40" w:line="276" w:lineRule="auto"/>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11</w:t>
      </w:r>
    </w:p>
    <w:p>
      <w:pPr>
        <w:tabs>
          <w:tab w:val="right" w:pos="9360" w:leader="dot"/>
        </w:tabs>
        <w:spacing w:after="40" w:line="276" w:lineRule="auto"/>
      </w:pPr>
      <w:r>
        <w:rPr>
          <w:rFonts w:ascii="Times New Roman" w:cs="Times New Roman" w:eastAsia="Times New Roman" w:hAnsi="Times New Roman"/>
          <w:b/>
          <w:bCs/>
          <w:sz w:val="24"/>
          <w:szCs w:val="24"/>
        </w:rPr>
        <w:t xml:space="preserve">Past Abstracts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Swaroop Sahoo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Chris Liu</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13</w:t>
      </w:r>
    </w:p>
    <w:p>
      <w:pPr>
        <w:tabs>
          <w:tab w:val="right" w:pos="9360" w:leader="dot"/>
        </w:tabs>
        <w:spacing w:after="40" w:line="276" w:lineRule="auto"/>
        <w:ind w:left="360"/>
      </w:pPr>
      <w:r>
        <w:rPr>
          <w:rFonts w:ascii="Times New Roman" w:cs="Times New Roman" w:eastAsia="Times New Roman" w:hAnsi="Times New Roman"/>
          <w:b w:val="false"/>
          <w:bCs w:val="false"/>
          <w:sz w:val="24"/>
          <w:szCs w:val="24"/>
        </w:rPr>
        <w:t xml:space="preserve">Allison Hong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14</w:t>
      </w:r>
    </w:p>
    <w:p>
      <w:r>
        <w:br w:type="page"/>
      </w:r>
    </w:p>
    <w:p>
      <w:pPr>
        <w:pStyle w:val="Heading1"/>
        <w:spacing w:after="140" w:before="240"/>
      </w:pPr>
      <w:r>
        <w:rPr>
          <w:rFonts w:ascii="Times New Roman" w:cs="Times New Roman" w:eastAsia="Times New Roman" w:hAnsi="Times New Roman"/>
          <w:b/>
          <w:bCs/>
          <w:sz w:val="36"/>
          <w:szCs w:val="36"/>
        </w:rPr>
        <w:t xml:space="preserve">Student Information</w:t>
      </w:r>
    </w:p>
    <w:p>
      <w:pPr>
        <w:spacing w:after="80" w:line="276" w:lineRule="auto"/>
      </w:pPr>
      <w:r>
        <w:rPr>
          <w:rFonts w:ascii="Times New Roman" w:cs="Times New Roman" w:eastAsia="Times New Roman" w:hAnsi="Times New Roman"/>
          <w:b/>
          <w:bCs/>
          <w:sz w:val="24"/>
          <w:szCs w:val="24"/>
        </w:rPr>
        <w:t xml:space="preserve">Student Names: </w:t>
      </w:r>
      <w:r>
        <w:rPr>
          <w:rFonts w:ascii="Times New Roman" w:cs="Times New Roman" w:eastAsia="Times New Roman" w:hAnsi="Times New Roman"/>
          <w:sz w:val="24"/>
          <w:szCs w:val="24"/>
        </w:rPr>
        <w:t xml:space="preserve">Swaroop Sahoo, Chris Liu, Allison Hong</w:t>
      </w:r>
    </w:p>
    <w:p>
      <w:pPr>
        <w:spacing w:after="80" w:line="276" w:lineRule="auto"/>
      </w:pPr>
      <w:r>
        <w:rPr>
          <w:rFonts w:ascii="Times New Roman" w:cs="Times New Roman" w:eastAsia="Times New Roman" w:hAnsi="Times New Roman"/>
          <w:b/>
          <w:bCs/>
          <w:sz w:val="24"/>
          <w:szCs w:val="24"/>
        </w:rPr>
        <w:t xml:space="preserve">Project Title: </w:t>
      </w:r>
      <w:r>
        <w:rPr>
          <w:rFonts w:ascii="Times New Roman" w:cs="Times New Roman" w:eastAsia="Times New Roman" w:hAnsi="Times New Roman"/>
          <w:sz w:val="24"/>
          <w:szCs w:val="24"/>
        </w:rPr>
        <w:t xml:space="preserve">Widespread Yield Variable Engagement Rapid-response Neutralizer (Experimental Version 4): Engineering Design and Experimental Validation of Closed PID Loop Thrust-Vector Control, Ultra-Low-Cost Additive-Manufacturing Materials, and Wind-Tunnel Aerodynamic Evaluation in a Subscale-Demonstrator Computer Guided Solid-Fueled Rocket Prototype</w:t>
      </w:r>
    </w:p>
    <w:p>
      <w:pPr>
        <w:spacing w:after="80" w:line="276" w:lineRule="auto"/>
      </w:pPr>
      <w:r>
        <w:rPr>
          <w:rFonts w:ascii="Times New Roman" w:cs="Times New Roman" w:eastAsia="Times New Roman" w:hAnsi="Times New Roman"/>
          <w:b/>
          <w:bCs/>
          <w:sz w:val="24"/>
          <w:szCs w:val="24"/>
        </w:rPr>
        <w:t xml:space="preserve">Research Pathway: </w:t>
      </w:r>
      <w:r>
        <w:rPr>
          <w:rFonts w:ascii="Times New Roman" w:cs="Times New Roman" w:eastAsia="Times New Roman" w:hAnsi="Times New Roman"/>
          <w:sz w:val="24"/>
          <w:szCs w:val="24"/>
        </w:rPr>
        <w:t xml:space="preserve">Engineering/Innovation Design</w:t>
      </w:r>
    </w:p>
    <w:p>
      <w:pPr>
        <w:spacing w:after="40"/>
      </w:pPr>
      <w:r>
        <w:rPr>
          <w:rFonts w:ascii="Times New Roman" w:cs="Times New Roman" w:eastAsia="Times New Roman" w:hAnsi="Times New Roman"/>
          <w:b/>
          <w:bCs/>
          <w:sz w:val="24"/>
          <w:szCs w:val="24"/>
        </w:rPr>
        <w:t xml:space="preserve">Intended Majors:</w:t>
      </w:r>
    </w:p>
    <w:p>
      <w:pPr>
        <w:pStyle w:val="ListParagraph"/>
        <w:numPr>
          <w:ilvl w:val="0"/>
          <w:numId w:val="2"/>
        </w:numPr>
        <w:spacing w:after="40" w:line="276" w:lineRule="auto"/>
      </w:pPr>
      <w:r>
        <w:rPr>
          <w:rFonts w:ascii="Times New Roman" w:cs="Times New Roman" w:eastAsia="Times New Roman" w:hAnsi="Times New Roman"/>
          <w:i/>
          <w:iCs/>
          <w:sz w:val="24"/>
          <w:szCs w:val="24"/>
        </w:rPr>
        <w:t xml:space="preserve">Swaroop Sahoo</w:t>
      </w:r>
      <w:r>
        <w:rPr>
          <w:rFonts w:ascii="Times New Roman" w:cs="Times New Roman" w:eastAsia="Times New Roman" w:hAnsi="Times New Roman"/>
          <w:sz w:val="24"/>
          <w:szCs w:val="24"/>
        </w:rPr>
        <w:t xml:space="preserve">: Electrical Engineering with Aerospace Engineering Minor</w:t>
      </w:r>
    </w:p>
    <w:p>
      <w:pPr>
        <w:pStyle w:val="ListParagraph"/>
        <w:numPr>
          <w:ilvl w:val="0"/>
          <w:numId w:val="2"/>
        </w:numPr>
        <w:spacing w:after="40" w:line="276" w:lineRule="auto"/>
      </w:pPr>
      <w:r>
        <w:rPr>
          <w:rFonts w:ascii="Times New Roman" w:cs="Times New Roman" w:eastAsia="Times New Roman" w:hAnsi="Times New Roman"/>
          <w:i/>
          <w:iCs/>
          <w:sz w:val="24"/>
          <w:szCs w:val="24"/>
        </w:rPr>
        <w:t xml:space="preserve">Chris Liu</w:t>
      </w:r>
      <w:r>
        <w:rPr>
          <w:rFonts w:ascii="Times New Roman" w:cs="Times New Roman" w:eastAsia="Times New Roman" w:hAnsi="Times New Roman"/>
          <w:sz w:val="24"/>
          <w:szCs w:val="24"/>
        </w:rPr>
        <w:t xml:space="preserve">: Aerospace Engineering with Business Minor</w:t>
      </w:r>
    </w:p>
    <w:p>
      <w:pPr>
        <w:pStyle w:val="ListParagraph"/>
        <w:numPr>
          <w:ilvl w:val="0"/>
          <w:numId w:val="2"/>
        </w:numPr>
        <w:spacing w:after="40" w:line="276" w:lineRule="auto"/>
      </w:pPr>
      <w:r>
        <w:rPr>
          <w:rFonts w:ascii="Times New Roman" w:cs="Times New Roman" w:eastAsia="Times New Roman" w:hAnsi="Times New Roman"/>
          <w:i/>
          <w:iCs/>
          <w:sz w:val="24"/>
          <w:szCs w:val="24"/>
        </w:rPr>
        <w:t xml:space="preserve">Allison Hong</w:t>
      </w:r>
      <w:r>
        <w:rPr>
          <w:rFonts w:ascii="Times New Roman" w:cs="Times New Roman" w:eastAsia="Times New Roman" w:hAnsi="Times New Roman"/>
          <w:sz w:val="24"/>
          <w:szCs w:val="24"/>
        </w:rPr>
        <w:t xml:space="preserve">: Mechanical Engineering with Aerospace Engineering Minor</w:t>
      </w:r>
    </w:p>
    <w:p>
      <w:pPr>
        <w:pStyle w:val="Heading1"/>
        <w:spacing w:after="140" w:before="240"/>
      </w:pPr>
      <w:r>
        <w:rPr>
          <w:rFonts w:ascii="Times New Roman" w:cs="Times New Roman" w:eastAsia="Times New Roman" w:hAnsi="Times New Roman"/>
          <w:b/>
          <w:bCs/>
          <w:sz w:val="36"/>
          <w:szCs w:val="36"/>
        </w:rPr>
        <w:t xml:space="preserve">Introduction</w:t>
      </w:r>
    </w:p>
    <w:p>
      <w:pPr>
        <w:spacing w:after="140" w:line="276" w:lineRule="auto"/>
        <w:ind w:firstLine="720"/>
        <w:jc w:val="both"/>
      </w:pPr>
      <w:r>
        <w:rPr>
          <w:rFonts w:ascii="Times New Roman" w:cs="Times New Roman" w:eastAsia="Times New Roman" w:hAnsi="Times New Roman"/>
          <w:sz w:val="24"/>
          <w:szCs w:val="24"/>
        </w:rPr>
        <w:t xml:space="preserve">Active flight control in small-scale, hobbyist-accessible rocketry sits at the intersection of aerodynamics, embedded real-time systems, additive-manufacturing materials science, and classical control theory, and progress on any one axis is frequently constrained by the others. Thrust-vector control (TVC) - gimballing the rocket motor's nozzle to produce a control moment without dedicated aerodynamic control surfaces - is the actuation method used on essentially every orbital launch vehicle, yet open, reproducible, and quantitatively validated implementations at the sounding-rocket scale remain comparatively rare in the amateur and academic literature. Existing low-cost demonstrations of vector control, such as the BPS.space Signal and Echo flight series, establish feasibility but do not typically isolate and quantify actuator-class performance independent of flight-to-flight aerodynamic and atmospheric variability.</w:t>
      </w:r>
    </w:p>
    <w:p>
      <w:pPr>
        <w:spacing w:after="140" w:line="276" w:lineRule="auto"/>
        <w:ind w:firstLine="720"/>
        <w:jc w:val="both"/>
      </w:pPr>
      <w:r>
        <w:rPr>
          <w:rFonts w:ascii="Times New Roman" w:cs="Times New Roman" w:eastAsia="Times New Roman" w:hAnsi="Times New Roman"/>
          <w:sz w:val="24"/>
          <w:szCs w:val="24"/>
        </w:rPr>
        <w:t xml:space="preserve">The WYVERN-E is a recoverable, full-scale prototype guided rocket built entirely from commercially available components and hobbyist-level manufacturing techniques, designed to fill this gap and to produce openly reproducible hardware, datasets, and design methodology for the broader rocketry community. Relative to prior program iterations, the current vehicle adopts a deliberately simplified architecture: a single fixed-fin airframe that is passively stable through the motor's ignition transient, a single bare-metal flight controller executing the entire sensing-and-control pipeline, and - critically - an actuator comparison that is moved off the flight vehicle and onto a repeatable ground-test apparatus. This restructuring produces a controlled, statistically tractable dataset on actuator performance, the central engineering question of the program, while retaining a flight-validation phase that demonstrates the complete closed-loop system performing as designed under real atmospheric and motor-burn conditions. Structural and aerodynamic components are fabricated via fused deposition modeling (FDM) using a thermally-zoned pair of engineering filaments characterized per Dizon et al. (2018), fin cross-section behavior is framed against the low-Reynolds-number aerodynamic theory of Lissaman (1983) and Mueller and DeLaurier (2003), and a custom open-return low-speed wind tunnel based on the Hofferth (2025) AIAA SciTech modular design is constructed in parallel with the vehicle following the tunnel-design criteria of Mehta and Bradshaw (1979) and Pope and Harper (1966). Together, the wind tunnel, computational trajectory and aerodynamic simulations, and in-situ powered flight testing form a three-tier experimental framework through which each research question is addressed across multiple validation methods, with all resulting datasets, design files, and firmware released publicly upon conclusion of the program.</w:t>
      </w:r>
    </w:p>
    <w:p>
      <w:pPr>
        <w:pStyle w:val="Heading1"/>
        <w:spacing w:after="140" w:before="240"/>
      </w:pPr>
      <w:r>
        <w:rPr>
          <w:rFonts w:ascii="Times New Roman" w:cs="Times New Roman" w:eastAsia="Times New Roman" w:hAnsi="Times New Roman"/>
          <w:b/>
          <w:bCs/>
          <w:sz w:val="36"/>
          <w:szCs w:val="36"/>
        </w:rPr>
        <w:t xml:space="preserve">Research Questions</w:t>
      </w:r>
    </w:p>
    <w:p>
      <w:pPr>
        <w:pStyle w:val="Heading2"/>
        <w:spacing w:after="60" w:before="160"/>
      </w:pPr>
      <w:r>
        <w:rPr>
          <w:rFonts w:ascii="Times New Roman" w:cs="Times New Roman" w:eastAsia="Times New Roman" w:hAnsi="Times New Roman"/>
          <w:b/>
          <w:bCs/>
          <w:sz w:val="26"/>
          <w:szCs w:val="26"/>
        </w:rPr>
        <w:t xml:space="preserve">Research Question 1 - Magnetic-Solenoid versus Servo Actuation for TVC Authority</w:t>
      </w:r>
    </w:p>
    <w:p>
      <w:pPr>
        <w:spacing w:after="140" w:line="276" w:lineRule="auto"/>
        <w:ind w:firstLine="720"/>
        <w:jc w:val="both"/>
      </w:pPr>
      <w:r>
        <w:rPr>
          <w:rFonts w:ascii="Times New Roman" w:cs="Times New Roman" w:eastAsia="Times New Roman" w:hAnsi="Times New Roman"/>
          <w:sz w:val="24"/>
          <w:szCs w:val="24"/>
        </w:rPr>
        <w:t xml:space="preserve">Substituting a tri-solenoid magnetic gimbal actuator for a servo-driven gimbal actuator as the thrust-vector-control mechanism, evaluated under identical commanded-deflection inputs on a three-axis thrust-vector load balance, will produce measurable differences in actuation bandwidth, slew rate, step-response overshoot, steady-state deflection error, and maximum achievable gimbal angle, with the objective of determining which actuator class provides superior control authority for a given motor thrust regime.</w:t>
      </w:r>
    </w:p>
    <w:p>
      <w:pPr>
        <w:pStyle w:val="Heading2"/>
        <w:spacing w:after="60" w:before="160"/>
      </w:pPr>
      <w:r>
        <w:rPr>
          <w:rFonts w:ascii="Times New Roman" w:cs="Times New Roman" w:eastAsia="Times New Roman" w:hAnsi="Times New Roman"/>
          <w:b/>
          <w:bCs/>
          <w:sz w:val="26"/>
          <w:szCs w:val="26"/>
        </w:rPr>
        <w:t xml:space="preserve">Research Question 2 - Structural Performance of Zone-Specific 3D-Printable Materials</w:t>
      </w:r>
    </w:p>
    <w:p>
      <w:pPr>
        <w:spacing w:after="140" w:line="276" w:lineRule="auto"/>
        <w:ind w:firstLine="720"/>
        <w:jc w:val="both"/>
      </w:pPr>
      <w:r>
        <w:rPr>
          <w:rFonts w:ascii="Times New Roman" w:cs="Times New Roman" w:eastAsia="Times New Roman" w:hAnsi="Times New Roman"/>
          <w:sz w:val="24"/>
          <w:szCs w:val="24"/>
        </w:rPr>
        <w:t xml:space="preserve">Holding all FDM process parameters constant across flame-retardant polycarbonate (PC-FR) and foamed acrylonitrile styrene acrylate (ASA-Aero), this study characterizes and compares each material's flexural stiffness under three-point bend loading, heat-deflection margin under simulated motor-bay thermal loading, and mass-specific structural performance, with the objective of validating a thermally-zoned material allocation - heat-rated polymer confined to the motor and gimbal bay, lightweight foamed polymer elsewhere - as superior to a single-material airframe on a mass-to-margin basis.</w:t>
      </w:r>
    </w:p>
    <w:p>
      <w:pPr>
        <w:pStyle w:val="Heading2"/>
        <w:spacing w:after="60" w:before="160"/>
      </w:pPr>
      <w:r>
        <w:rPr>
          <w:rFonts w:ascii="Times New Roman" w:cs="Times New Roman" w:eastAsia="Times New Roman" w:hAnsi="Times New Roman"/>
          <w:b/>
          <w:bCs/>
          <w:sz w:val="26"/>
          <w:szCs w:val="26"/>
        </w:rPr>
        <w:t xml:space="preserve">Research Question 3 - Aerofoil Profile Efficiency for Passive Subsonic Stability</w:t>
      </w:r>
    </w:p>
    <w:p>
      <w:pPr>
        <w:spacing w:after="140" w:line="276" w:lineRule="auto"/>
        <w:ind w:firstLine="720"/>
        <w:jc w:val="both"/>
      </w:pPr>
      <w:r>
        <w:rPr>
          <w:rFonts w:ascii="Times New Roman" w:cs="Times New Roman" w:eastAsia="Times New Roman" w:hAnsi="Times New Roman"/>
          <w:sz w:val="24"/>
          <w:szCs w:val="24"/>
        </w:rPr>
        <w:t xml:space="preserve">Testing the fixed fin's symmetric aerofoil cross-section across incrementally increasing angles of attack in subsonic wind-tunnel flow, lift coefficient, drag coefficient, lift-to-drag ratio, and stall onset angle will be measured and compared against thin-airfoil theory and published low-Reynolds-number reference data, with the objective of confirming that the selected fin geometry provides sufficient restoring moment to hold the minimum stable static margin through the pre-TVC flight phase without imposing an unnecessary drag or mass penalty.</w:t>
      </w:r>
    </w:p>
    <w:p>
      <w:pPr>
        <w:pStyle w:val="Heading2"/>
        <w:spacing w:after="60" w:before="160"/>
      </w:pPr>
      <w:r>
        <w:rPr>
          <w:rFonts w:ascii="Times New Roman" w:cs="Times New Roman" w:eastAsia="Times New Roman" w:hAnsi="Times New Roman"/>
          <w:b/>
          <w:bCs/>
          <w:sz w:val="26"/>
          <w:szCs w:val="26"/>
        </w:rPr>
        <w:t xml:space="preserve">Research Question 4 - Wind-Tunnel Calibration Against In-Situ Flight Performance</w:t>
      </w:r>
    </w:p>
    <w:p>
      <w:pPr>
        <w:spacing w:after="140" w:line="276" w:lineRule="auto"/>
        <w:ind w:firstLine="720"/>
        <w:jc w:val="both"/>
      </w:pPr>
      <w:r>
        <w:rPr>
          <w:rFonts w:ascii="Times New Roman" w:cs="Times New Roman" w:eastAsia="Times New Roman" w:hAnsi="Times New Roman"/>
          <w:sz w:val="24"/>
          <w:szCs w:val="24"/>
        </w:rPr>
        <w:t xml:space="preserve">Incrementally adjusting fan speed across a range of test-section velocities in the custom open-return low-speed wind tunnel, the Reynolds-number similarity ratio, blockage-corrected drag coefficient, and cross-sectional flow uniformity will be evaluated at each condition to identify the operating point at which tunnel-measured aerodynamic loading most closely reproduces the loading predicted on the full-scale vehicle during powered ascent, and tunnel-derived drag coefficients will be cross-validated against telemetry-derived drag estimates from flight.</w:t>
      </w:r>
    </w:p>
    <w:p>
      <w:pPr>
        <w:pStyle w:val="Heading2"/>
        <w:spacing w:after="60" w:before="160"/>
      </w:pPr>
      <w:r>
        <w:rPr>
          <w:rFonts w:ascii="Times New Roman" w:cs="Times New Roman" w:eastAsia="Times New Roman" w:hAnsi="Times New Roman"/>
          <w:b/>
          <w:bCs/>
          <w:sz w:val="26"/>
          <w:szCs w:val="26"/>
        </w:rPr>
        <w:t xml:space="preserve">Research Question 5 - Closed-Loop Control Gain Sensitivity in a Single-Controller TVC Architecture</w:t>
      </w:r>
    </w:p>
    <w:p>
      <w:pPr>
        <w:spacing w:after="140" w:line="276" w:lineRule="auto"/>
        <w:ind w:firstLine="720"/>
        <w:jc w:val="both"/>
      </w:pPr>
      <w:r>
        <w:rPr>
          <w:rFonts w:ascii="Times New Roman" w:cs="Times New Roman" w:eastAsia="Times New Roman" w:hAnsi="Times New Roman"/>
          <w:sz w:val="24"/>
          <w:szCs w:val="24"/>
        </w:rPr>
        <w:t xml:space="preserve">Operating the proportional-integral-derivative thrust-vector control loop on the single flight microcontroller under multiple candidate gain sets - including a step-response-tuned baseline and a simulation-refined, margin-validated gain set - peak pitch deviation, gimbal-angle utilization, and settling behavior will be quantified and compared across repeated flights to determine which gain configuration produces the most accurate and best-damped trajectory tracking on a deterministic, single-core-partitioned control architecture.</w:t>
      </w:r>
    </w:p>
    <w:p>
      <w:pPr>
        <w:pStyle w:val="Heading1"/>
        <w:spacing w:after="140" w:before="240"/>
      </w:pPr>
      <w:r>
        <w:rPr>
          <w:rFonts w:ascii="Times New Roman" w:cs="Times New Roman" w:eastAsia="Times New Roman" w:hAnsi="Times New Roman"/>
          <w:b/>
          <w:bCs/>
          <w:sz w:val="36"/>
          <w:szCs w:val="36"/>
        </w:rPr>
        <w:t xml:space="preserve">Project Goal</w:t>
      </w:r>
    </w:p>
    <w:p>
      <w:pPr>
        <w:spacing w:after="140" w:line="276" w:lineRule="auto"/>
        <w:ind w:firstLine="720"/>
        <w:jc w:val="both"/>
      </w:pPr>
      <w:r>
        <w:rPr>
          <w:rFonts w:ascii="Times New Roman" w:cs="Times New Roman" w:eastAsia="Times New Roman" w:hAnsi="Times New Roman"/>
          <w:sz w:val="24"/>
          <w:szCs w:val="24"/>
        </w:rPr>
        <w:t xml:space="preserve">The goal of the WYVERN-E program is to design, fabricate, ground-test, and flight-validate a recoverable, FAA Class 1, 70 mm-diameter prototype rocket demonstrator that serves as an integrated experimental platform for: (i) quantitatively comparing thrust-vector-control actuator classes independent of flight-to-flight variability; (ii) validating a thermally-zoned additive-manufacturing material strategy against airframe mass and structural-margin objectives; (iii) characterizing the aerodynamic performance of the vehicle's passive-stability fin geometry; (iv) validating a custom low-speed wind tunnel against in-situ flight telemetry; and (v) quantifying control-loop gain sensitivity on a consolidated single-controller avionics architecture. Testing is conducted across three complementary tiers - computational simulation, ground-based instrumented testing, and in-situ powered flight - so that each research question is addressed through at least two independent and mutually cross-validating methods, with the goal of producing usable open datasets and reliable, reproducible components for the rocketry community.</w:t>
      </w:r>
    </w:p>
    <w:p>
      <w:pPr>
        <w:pStyle w:val="Heading1"/>
        <w:spacing w:after="140" w:before="240"/>
      </w:pPr>
      <w:r>
        <w:rPr>
          <w:rFonts w:ascii="Times New Roman" w:cs="Times New Roman" w:eastAsia="Times New Roman" w:hAnsi="Times New Roman"/>
          <w:b/>
          <w:bCs/>
          <w:sz w:val="36"/>
          <w:szCs w:val="36"/>
        </w:rPr>
        <w:t xml:space="preserve">Proposed Methodologies</w:t>
      </w:r>
    </w:p>
    <w:p>
      <w:pPr>
        <w:spacing w:after="140" w:line="276" w:lineRule="auto"/>
        <w:ind w:firstLine="720"/>
        <w:jc w:val="both"/>
      </w:pPr>
      <w:r>
        <w:rPr>
          <w:rFonts w:ascii="Times New Roman" w:cs="Times New Roman" w:eastAsia="Times New Roman" w:hAnsi="Times New Roman"/>
          <w:sz w:val="24"/>
          <w:szCs w:val="24"/>
        </w:rPr>
        <w:t xml:space="preserve">The WYVERN-E program employs a three-tier experimental framework spanning computational simulation, ground-based instrumented testing, and in-situ powered flight testing. Each research question is addressed through at least two of these tiers to enable cross-validation of results. All fabrication uses hobbyist-accessible manufacturing methods and commercially available components, consistent with the program's open-source objectives. The vehicle is a 70 mm outer-diameter, single-stage airframe approximately 0.74 m in length, comprising three equipment bays (engine/TVC, flight-computer, and recovery) separated by two structural bulkheads, with four fixed fins providing passive stability; its mass budget, derived from the thermally-zoned material allocation of Research Question 2, is summarized in Table 1.</w:t>
      </w:r>
    </w:p>
    <w:p>
      <w:pPr>
        <w:pStyle w:val="Heading2"/>
        <w:spacing w:after="100" w:before="180"/>
      </w:pPr>
      <w:r>
        <w:rPr>
          <w:rFonts w:ascii="Times New Roman" w:cs="Times New Roman" w:eastAsia="Times New Roman" w:hAnsi="Times New Roman"/>
          <w:b/>
          <w:bCs/>
          <w:sz w:val="26"/>
          <w:szCs w:val="26"/>
        </w:rPr>
        <w:t xml:space="preserve">Airframe and Materials</w:t>
      </w:r>
    </w:p>
    <w:p>
      <w:pPr>
        <w:spacing w:after="140" w:line="276" w:lineRule="auto"/>
        <w:ind w:firstLine="720"/>
        <w:jc w:val="both"/>
      </w:pPr>
      <w:r>
        <w:rPr>
          <w:rFonts w:ascii="Times New Roman" w:cs="Times New Roman" w:eastAsia="Times New Roman" w:hAnsi="Times New Roman"/>
          <w:sz w:val="24"/>
          <w:szCs w:val="24"/>
        </w:rPr>
        <w:t xml:space="preserve">All primary structural components - body tube, nose cone, fin set, and bulkheads - are fabricated via FDM on a Bambu Lab X1C printer using the stock 0.4 mm brass nozzle. Print parameters (layer height, infill pattern and density, wall count, nozzle and bed temperature, and part cooling) are held constant within each material class to isolate material as the independent variable for Research Question 2, following the parameter-control methodology of Popescu et al. (2018). Two structural candidate materials are evaluated: flame-retardant polycarbonate (PC-FR, density approximately 1.25 g/cm3, heat-deflection temperature approximately 110 C, UL94-V0 rated), allocated to the two structural bulkheads, the ejection bypass tube, and the engine assembly (engine/TVC bay, motor mount, and gimbal), where sustained motor-plume heating or the ejection-gas pulse is expected; and a foamed acrylonitrile styrene acrylate (ASA-Aero, density approximately 0.5 to 0.7 g/cm3), used for the primary structure - nose, body tube, fins, and the flight-computer and recovery bays - where no significant thermal load is present. This all-ASA-except-where-necessary allocation reduces dry mass by approximately 130 to 150 g relative to an all-PC-FR baseline (specified at 812 g liftoff in an earlier iteration), directly raising the thrust-to-weight ratio and predicted apogee. Flexural stiffness of both materials is characterized under standardized three-point bend loading following the framework of Dizon et al. (2018). Standard ABS (density approximately 1.04 g/cm3) is not a structural airframe material; it is printed only as a jetvane material coupon, alongside ASA-Aero, for the motor-exhaust erosion screen. Engine-bay thermal performance is verified by a first-order lumped-capacitance transient model of the PC-FR motor-bay wall against the F15's 3.45 s burn (with a 0.5 mm phenolic liner as the inner thermal barrier), predicting a peak wall temperature near 47 C - well below the PC-FR heat-deflection limit - while first-order structural margins on the airframe exceed a safety factor of 300 times against the motor's peak axial and TVC-induced bending loads, confirming that the airframe wall thickness is set by printability and handling robustness rather than by flight-load requirements.</w:t>
      </w:r>
    </w:p>
    <w:p>
      <w:pPr>
        <w:spacing w:after="140"/>
        <w:jc w:val="left"/>
      </w:pPr>
      <w:r>
        <w:rPr>
          <w:rFonts w:ascii="Times New Roman" w:cs="Times New Roman" w:eastAsia="Times New Roman" w:hAnsi="Times New Roman"/>
          <w:i/>
          <w:iCs/>
          <w:sz w:val="22"/>
          <w:szCs w:val="22"/>
        </w:rPr>
        <w:t xml:space="preserve">Table 1. WYVERN-E mass budget (thermally-zoned ASA-Aero / PC-FR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560"/>
        <w:gridCol w:w="1800"/>
      </w:tblGrid>
      <w:tr>
        <w:tc>
          <w:tcPr>
            <w:tcW w:type="dxa" w:w="150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Section</w:t>
            </w:r>
          </w:p>
        </w:tc>
        <w:tc>
          <w:tcPr>
            <w:tcW w:type="dxa" w:w="150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Material</w:t>
            </w:r>
          </w:p>
        </w:tc>
        <w:tc>
          <w:tcPr>
            <w:tcW w:type="dxa" w:w="456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Key contents</w:t>
            </w:r>
          </w:p>
        </w:tc>
        <w:tc>
          <w:tcPr>
            <w:tcW w:type="dxa" w:w="180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Mass</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Nose cone</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ASA-Aero</w:t>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Ellipsoid nose</w:t>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21 g</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Engine/TVC bay</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PC-FR</w:t>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Engine-bay tube, Bulkhead A, gimbal, 2x servo actuators, attitude IMU, motor mount</w:t>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268 g</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Flight-computer bay</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ASA-Aero</w:t>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FC-bay tube, Pico 2 W, attitude IMU, barometric sensors, microSD logger, 2S LiPo + 5 V UBEC, i3 4K Thumb Action Camera</w:t>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122 g</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Recovery bay</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ASA-Aero</w:t>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Recovery-bay tube, parachute + Kevlar cord, Nomex protector, redundant IMU, PC-FR bypass tube, sealed Bulkhead B, ejection plenum</w:t>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137 g</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Structure</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ASA-Aero</w:t>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4x fixed fins (72 mm), internal wiring</w:t>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50 g</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Dry mass total</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603 g</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Motor (loaded)</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w:t>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Estes F15-4, 60 g propellant</w:t>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102 g</w:t>
            </w:r>
          </w:p>
        </w:tc>
      </w:tr>
      <w:tr>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Liftoff mass total</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45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18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705 g</w:t>
            </w:r>
          </w:p>
        </w:tc>
      </w:tr>
    </w:tbl>
    <w:p>
      <w:pPr>
        <w:pStyle w:val="Heading2"/>
        <w:spacing w:after="100" w:before="180"/>
      </w:pPr>
      <w:r>
        <w:rPr>
          <w:rFonts w:ascii="Times New Roman" w:cs="Times New Roman" w:eastAsia="Times New Roman" w:hAnsi="Times New Roman"/>
          <w:b/>
          <w:bCs/>
          <w:sz w:val="26"/>
          <w:szCs w:val="26"/>
        </w:rPr>
        <w:t xml:space="preserve">Fins and Aerofoil Profiles</w:t>
      </w:r>
    </w:p>
    <w:p>
      <w:pPr>
        <w:spacing w:after="140" w:line="276" w:lineRule="auto"/>
        <w:ind w:firstLine="720"/>
        <w:jc w:val="both"/>
      </w:pPr>
      <w:r>
        <w:rPr>
          <w:rFonts w:ascii="Times New Roman" w:cs="Times New Roman" w:eastAsia="Times New Roman" w:hAnsi="Times New Roman"/>
          <w:sz w:val="24"/>
          <w:szCs w:val="24"/>
        </w:rPr>
        <w:t xml:space="preserve">Because the closed-loop TVC system cannot be engaged instantaneously at ignition - servo and control-loop settling, combined with the high-amplitude motor ignition spike, would risk a destabilizing initial command - the vehicle must be passively stable through approximately the first 0.5 s of flight. Four fixed fins (root chord 70 mm, tip chord 35 mm, leading-edge sweep 25 degrees, span 72 mm) are sized to the minimum conventionally stable static margin of 1.0 caliber at liftoff (1.10 cal; center of gravity 49.1 cm from the nose, center of pressure 56.8 cm, by the Barrowman (1967) method), increasing to approximately 1.3 caliber by burnout as propellant is consumed. The 72 mm span compensates for the aft center-of-gravity shift introduced by the lightweight ASA nose, holding the 1.0-caliber margin with no ballast. A parametric apogee-versus-ballast sweep (Table 2) confirms that adding nose ballast to increase margin is counter-productive, so stability is achieved purely through fin sizing at the minimum stable margin. The fin's symmetric aerofoil cross-section is benchmarked against the thin-airfoil and low-Reynolds-number frameworks of Lissaman (1983) and Mueller and DeLaurier (2003) and against tabulated NACA section data (Abbott and Von Doenhoff, 1959); wind-tunnel-measured lift coefficient, drag coefficient, lift-to-drag ratio, and stall onset angle for the fabricated fin article are compared directly against these references and feed the Barrowman center-of-pressure calculation used to confirm static margin.</w:t>
      </w:r>
    </w:p>
    <w:p>
      <w:pPr>
        <w:spacing w:after="140"/>
        <w:jc w:val="left"/>
      </w:pPr>
      <w:r>
        <w:rPr>
          <w:rFonts w:ascii="Times New Roman" w:cs="Times New Roman" w:eastAsia="Times New Roman" w:hAnsi="Times New Roman"/>
          <w:i/>
          <w:iCs/>
          <w:sz w:val="22"/>
          <w:szCs w:val="22"/>
        </w:rPr>
        <w:t xml:space="preserve">Table 2. Apogee sensitivity to nose ballast (RK4 + Barrowman simulation, 1.0-cal margin held by fin resizing).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Ballast</w:t>
            </w:r>
          </w:p>
        </w:tc>
        <w:tc>
          <w:tcPr>
            <w:tcW w:type="dxa" w:w="234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Fin span</w:t>
            </w:r>
          </w:p>
        </w:tc>
        <w:tc>
          <w:tcPr>
            <w:tcW w:type="dxa" w:w="234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Liftoff mass</w:t>
            </w:r>
          </w:p>
        </w:tc>
        <w:tc>
          <w:tcPr>
            <w:tcW w:type="dxa" w:w="234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Predicted apogee</w:t>
            </w:r>
          </w:p>
        </w:tc>
      </w:tr>
      <w:tr>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0 g (selected)</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72 mm</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705 g</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~435 ft</w:t>
            </w:r>
          </w:p>
        </w:tc>
      </w:tr>
      <w:tr>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60 g</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62 mm</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765 g</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~374 ft</w:t>
            </w:r>
          </w:p>
        </w:tc>
      </w:tr>
      <w:tr>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150 g</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54 mm</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855 g</w:t>
            </w:r>
          </w:p>
        </w:tc>
        <w:tc>
          <w:tcPr>
            <w:tcW w:type="dxa" w:w="23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~291 ft</w:t>
            </w:r>
          </w:p>
        </w:tc>
      </w:tr>
    </w:tbl>
    <w:p>
      <w:pPr>
        <w:pStyle w:val="Heading2"/>
        <w:spacing w:after="100" w:before="180"/>
      </w:pPr>
      <w:r>
        <w:rPr>
          <w:rFonts w:ascii="Times New Roman" w:cs="Times New Roman" w:eastAsia="Times New Roman" w:hAnsi="Times New Roman"/>
          <w:b/>
          <w:bCs/>
          <w:sz w:val="26"/>
          <w:szCs w:val="26"/>
        </w:rPr>
        <w:t xml:space="preserve">Flight Computer Systems and Avionics</w:t>
      </w:r>
    </w:p>
    <w:p>
      <w:pPr>
        <w:spacing w:after="140" w:line="276" w:lineRule="auto"/>
        <w:ind w:firstLine="720"/>
        <w:jc w:val="both"/>
      </w:pPr>
      <w:r>
        <w:rPr>
          <w:rFonts w:ascii="Times New Roman" w:cs="Times New Roman" w:eastAsia="Times New Roman" w:hAnsi="Times New Roman"/>
          <w:sz w:val="24"/>
          <w:szCs w:val="24"/>
        </w:rPr>
        <w:t xml:space="preserve">All flight avionics functions - attitude estimation, control-law execution, actuator commanding, data logging, and telemetry - are consolidated onto a single Raspberry Pi Pico 2 W (RP2350: dual-core 150 MHz Arm Cortex-M33, 520 KB SRAM, on-board Wi-Fi/BLE radio), replacing the distributed multi-board avionics architecture of earlier iterations. The two processor cores are functionally partitioned to preserve hard real-time determinism: Core 0 executes the 500 Hz thrust-vector-control loop exclusively - reading the gimbal- and body-mounted inertial measurement units, computing nozzle deflection, evaluating the PID control law, and commanding the gimbal servos - and is permitted no blocking operations of any kind, while Core 1 drains a logged-data ring buffer to a microSD card over SPI and services an optional Wi-Fi telemetry link for ground-station monitoring, isolating all non-deterministic I/O latency from the control path. This division directly addresses the principal failure mode of single-threaded flight computers, in which storage or radio I/O can transiently block control-loop execution.</w:t>
      </w:r>
    </w:p>
    <w:p>
      <w:pPr>
        <w:spacing w:after="140" w:line="276" w:lineRule="auto"/>
        <w:ind w:firstLine="720"/>
        <w:jc w:val="both"/>
      </w:pPr>
      <w:r>
        <w:rPr>
          <w:rFonts w:ascii="Times New Roman" w:cs="Times New Roman" w:eastAsia="Times New Roman" w:hAnsi="Times New Roman"/>
          <w:sz w:val="24"/>
          <w:szCs w:val="24"/>
        </w:rPr>
        <w:t xml:space="preserve">Three nine-axis inertial measurement units (Bosch BNO085) are deployed - one rigidly referenced to the gimbal/nozzle, one to the vehicle body in the flight-computer bay, and a third redundant unit in the recovery bay for two-of-three fault voting - each configured in Game Rotation Vector mode (accelerometer-gyroscope fusion with the magnetometer disabled), because the magnetic field of the adjacent gimbal servos would otherwise corrupt a magnetically-referenced heading estimate. A BME688 environmental sensor and a BMP388 barometer (Adafruit 3966) provide barometric altitude on the flight-computer bay's I2C bus. Effective nozzle deflection relative to the vehicle body is computed each control cycle as the quaternion difference q_defl = inverse(q_body) x q_gimbal, capturing true mechanical nozzle attitude (including linkage backlash or structural flex) rather than an assumed commanded angle.</w:t>
      </w:r>
    </w:p>
    <w:p>
      <w:pPr>
        <w:spacing w:after="140" w:line="276" w:lineRule="auto"/>
        <w:ind w:firstLine="720"/>
        <w:jc w:val="both"/>
      </w:pPr>
      <w:r>
        <w:rPr>
          <w:rFonts w:ascii="Times New Roman" w:cs="Times New Roman" w:eastAsia="Times New Roman" w:hAnsi="Times New Roman"/>
          <w:b/>
          <w:bCs/>
          <w:sz w:val="24"/>
          <w:szCs w:val="24"/>
        </w:rPr>
        <w:t xml:space="preserve">Power. </w:t>
      </w:r>
      <w:r>
        <w:rPr>
          <w:rFonts w:ascii="Times New Roman" w:cs="Times New Roman" w:eastAsia="Times New Roman" w:hAnsi="Times New Roman"/>
          <w:sz w:val="24"/>
          <w:szCs w:val="24"/>
        </w:rPr>
        <w:t xml:space="preserve">A light 2S LiPo (7.4 V, ~450 mAh) feeds a single 5 V/6 V UBEC set to 5 V, whose one rail powers the Pico 2 W VSYS, the camera, and both TVC servos (EMAX ES08MA II, run at 5 V ~1.8 kg-cm, comfortably above the ~0.9 kg-cm gimbal demand); a separate 6 V servo BEC is not required at this scale. Because the servos and the flight computer share the 5 V rail, the servo and VSYS feeds are star-wired from the UBEC output with bulk and hold-up capacitance (1000 uF at the servos, 100 uF plus an SS34 Schottky at VSYS) so that ~1 A servo-stall transients cannot brown-out the controller. Pack voltage is monitored on GP26/ADC0 before the BEC through a 100k/62k divider, keeping 2S full-charge (8.4 V) at ~3.21 V just under the 3.3 V ADC reference, with firmware warning at 6.4 V (3.2 V/cell) and inhibiting arming below 6.0 V (3.0 V/cell). The power-plus-camera group (LiPo ~30 g, UBEC ~10 g, i3 4K Thumb Action Camera ~36 g) totals ~76 g, within the 122 g FC-bay allocation; the i3 is ~26 g heavier than a thumb-class cam, which is carried through the flight numbers below (liftoff 705 g, apogee ~435 ft) and, being forward of the CG, raises the static margin to ~1.10 cal.</w:t>
      </w:r>
    </w:p>
    <w:p>
      <w:pPr>
        <w:spacing w:after="140" w:line="276" w:lineRule="auto"/>
        <w:ind w:firstLine="720"/>
        <w:jc w:val="both"/>
      </w:pPr>
      <w:r>
        <w:rPr>
          <w:rFonts w:ascii="Times New Roman" w:cs="Times New Roman" w:eastAsia="Times New Roman" w:hAnsi="Times New Roman"/>
          <w:b/>
          <w:bCs/>
          <w:sz w:val="24"/>
          <w:szCs w:val="24"/>
        </w:rPr>
        <w:t xml:space="preserve">Control law (Research Question 5). </w:t>
      </w:r>
      <w:r>
        <w:rPr>
          <w:rFonts w:ascii="Times New Roman" w:cs="Times New Roman" w:eastAsia="Times New Roman" w:hAnsi="Times New Roman"/>
          <w:sz w:val="24"/>
          <w:szCs w:val="24"/>
        </w:rPr>
        <w:t xml:space="preserve">The per-axis control law is a discrete PID controller with integral anti-windup clamping and a first-order low-pass-filtered derivative term, executed at 500 Hz with output clipped to a plus/minus 8-degree gimbal deflection limit - raised from plus/minus 5 degrees to give control-authority margin against crosswind weathercocking without adding passive fin stability, which would otherwise reduce the very disturbance the TVC system is built to demonstrate. The flight gain set (Kp = 0.10, Ki = 0.40, Kd = 0.18) was selected by a phase/gain-margin analysis across 24 operating points (phase margin approximately 33 degrees, gain margin approximately 9.3 dB) and independently confirmed by a time-domain robust multi-wind auto-tune; it holds low-wind pitch deviation under roughly 2 degrees with wide gimbal headroom against the plus/minus 8-degree limit, while avoiding the resonance against finite servo lag (approximately 40 ms) seen at higher proportional gains. The loop is inhibited for the first 0.5 s of flight, after which it stabilizes the vehicle to vertical and executes a small commanded maneuver; required gimbal torque is estimated at approximately 0.9 kg-cm at plus/minus 8 degrees, well within the selected servo class.</w:t>
      </w:r>
    </w:p>
    <w:p>
      <w:pPr>
        <w:pStyle w:val="Heading2"/>
        <w:spacing w:after="100" w:before="180"/>
      </w:pPr>
      <w:r>
        <w:rPr>
          <w:rFonts w:ascii="Times New Roman" w:cs="Times New Roman" w:eastAsia="Times New Roman" w:hAnsi="Times New Roman"/>
          <w:b/>
          <w:bCs/>
          <w:sz w:val="26"/>
          <w:szCs w:val="26"/>
        </w:rPr>
        <w:t xml:space="preserve">Ground Test Stands and Actuator Comparison</w:t>
      </w:r>
    </w:p>
    <w:p>
      <w:pPr>
        <w:spacing w:after="140" w:line="276" w:lineRule="auto"/>
        <w:ind w:firstLine="720"/>
        <w:jc w:val="both"/>
      </w:pPr>
      <w:r>
        <w:rPr>
          <w:rFonts w:ascii="Times New Roman" w:cs="Times New Roman" w:eastAsia="Times New Roman" w:hAnsi="Times New Roman"/>
          <w:sz w:val="24"/>
          <w:szCs w:val="24"/>
        </w:rPr>
        <w:t xml:space="preserve">The ground test program is the program's primary experimental apparatus rather than a preliminary check, since both the actuator comparison (Research Question 1) and the motor-characterization data that feed every downstream simulation are generated here rather than in flight. Two purpose-built stands are constructed: a three-axis thrust-vector load balance for actuator comparison, and a single-axis static-thrust stand for motor-curve verification and materials erosion screening. Both are fully printable in PC-FR (selected per Research Question 2 for its motor-plume thermal margin) and instrumented with strain-gauge load cells and HX711 24-bit bridge-amplifier breakouts, logged to onboard microSD by a dedicated Raspberry Pi Pico data-acquisition microcontroller independent of the flight avionics. On the three-axis balance, the actuator under test (magnetic-solenoid or servo gimbal) is mounted to a thrust block restrained by three strain-gauge load cells acting through flexures - one axial and two lateral - resolving the full thrust vector in magnitude and direction as T = sqrt(Fx^2 + Fy^2 + Fz^2), theta = arctan(sqrt(Fx^2 + Fy^2)/Fz), and phi = atan2(Fy, Fx). The cells are sized to the expected loading envelope of the test motor (Estes F15-0, 25.3 N peak axial thrust, side force at the plus/minus 8-degree gimbal limit approximately 3.5 N) using a 5 kg axial cell and two 1 kg lateral cells at 80 samples per second. The rig is actuator-agnostic, so the magnetic-versus-servo comparison runs entirely on one fixture under nominally identical thrust conditions; commanded-versus-measured deflection angle is logged across step and ramp commands to extract bandwidth, slew rate, overshoot, steady-state error, and maximum sustained deflection for each actuator. A single-axis static-thrust stand fitted with a steel blast deflector simultaneously validates the as-fired thrust curve of every motor and holds candidate print-material coupons in the exhaust plume to rank flame resistance and surface erosion for the Research Question 2 conclusions. Table 3 summarizes the motor plan.</w:t>
      </w:r>
    </w:p>
    <w:p>
      <w:pPr>
        <w:spacing w:after="140"/>
        <w:jc w:val="left"/>
      </w:pPr>
      <w:r>
        <w:rPr>
          <w:rFonts w:ascii="Times New Roman" w:cs="Times New Roman" w:eastAsia="Times New Roman" w:hAnsi="Times New Roman"/>
          <w:i/>
          <w:iCs/>
          <w:sz w:val="22"/>
          <w:szCs w:val="22"/>
        </w:rPr>
        <w:t xml:space="preserve">Table 3. Motor plan and verified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900"/>
        <w:gridCol w:w="1300"/>
        <w:gridCol w:w="2960"/>
      </w:tblGrid>
      <w:tr>
        <w:tc>
          <w:tcPr>
            <w:tcW w:type="dxa" w:w="170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Motor</w:t>
            </w:r>
          </w:p>
        </w:tc>
        <w:tc>
          <w:tcPr>
            <w:tcW w:type="dxa" w:w="150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Total impulse</w:t>
            </w:r>
          </w:p>
        </w:tc>
        <w:tc>
          <w:tcPr>
            <w:tcW w:type="dxa" w:w="190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Avg / peak thrust</w:t>
            </w:r>
          </w:p>
        </w:tc>
        <w:tc>
          <w:tcPr>
            <w:tcW w:type="dxa" w:w="130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Burn</w:t>
            </w:r>
          </w:p>
        </w:tc>
        <w:tc>
          <w:tcPr>
            <w:tcW w:type="dxa" w:w="2960"/>
            <w:tcBorders>
              <w:top w:val="single" w:color="999999" w:sz="2"/>
              <w:left w:val="single" w:color="999999" w:sz="2"/>
              <w:bottom w:val="single" w:color="999999" w:sz="2"/>
              <w:right w:val="single" w:color="999999" w:sz="2"/>
            </w:tcBorders>
            <w:shd w:fill="D9E2F3"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Role</w:t>
            </w:r>
          </w:p>
        </w:tc>
      </w:tr>
      <w:tr>
        <w:tc>
          <w:tcPr>
            <w:tcW w:type="dxa" w:w="17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Estes F15-4</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49.6 N-s</w:t>
            </w:r>
          </w:p>
        </w:tc>
        <w:tc>
          <w:tcPr>
            <w:tcW w:type="dxa" w:w="19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14.4 N / 25.3 N</w:t>
            </w:r>
          </w:p>
        </w:tc>
        <w:tc>
          <w:tcPr>
            <w:tcW w:type="dxa" w:w="13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3.45 s</w:t>
            </w:r>
          </w:p>
        </w:tc>
        <w:tc>
          <w:tcPr>
            <w:tcW w:type="dxa" w:w="29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Flight only (4 s delay + ejection = recovery)</w:t>
            </w:r>
          </w:p>
        </w:tc>
      </w:tr>
      <w:tr>
        <w:tc>
          <w:tcPr>
            <w:tcW w:type="dxa" w:w="17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Estes F15-0</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49.6 N-s</w:t>
            </w:r>
          </w:p>
        </w:tc>
        <w:tc>
          <w:tcPr>
            <w:tcW w:type="dxa" w:w="19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14.4 N / 25.3 N</w:t>
            </w:r>
          </w:p>
        </w:tc>
        <w:tc>
          <w:tcPr>
            <w:tcW w:type="dxa" w:w="13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3.45 s</w:t>
            </w:r>
          </w:p>
        </w:tc>
        <w:tc>
          <w:tcPr>
            <w:tcW w:type="dxa" w:w="29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Ground only (plugged; static stand + TVC balance)</w:t>
            </w:r>
          </w:p>
        </w:tc>
      </w:tr>
      <w:tr>
        <w:tc>
          <w:tcPr>
            <w:tcW w:type="dxa" w:w="17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bCs/>
                <w:sz w:val="21"/>
                <w:szCs w:val="21"/>
              </w:rPr>
              <w:t xml:space="preserve">Estes/AeroTech E16-4</w:t>
            </w:r>
          </w:p>
        </w:tc>
        <w:tc>
          <w:tcPr>
            <w:tcW w:type="dxa" w:w="15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~30 N-s</w:t>
            </w:r>
          </w:p>
        </w:tc>
        <w:tc>
          <w:tcPr>
            <w:tcW w:type="dxa" w:w="19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~16 N avg</w:t>
            </w:r>
          </w:p>
        </w:tc>
        <w:tc>
          <w:tcPr>
            <w:tcW w:type="dxa" w:w="130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21"/>
                <w:szCs w:val="21"/>
              </w:rPr>
              <w:t xml:space="preserve">E-class</w:t>
            </w:r>
          </w:p>
        </w:tc>
        <w:tc>
          <w:tcPr>
            <w:tcW w:type="dxa" w:w="29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21"/>
                <w:szCs w:val="21"/>
              </w:rPr>
              <w:t xml:space="preserve">Stand commissioning and calibration only</w:t>
            </w:r>
          </w:p>
        </w:tc>
      </w:tr>
    </w:tbl>
    <w:p>
      <w:pPr>
        <w:spacing w:after="140" w:line="276" w:lineRule="auto"/>
        <w:ind w:firstLine="720"/>
        <w:jc w:val="both"/>
      </w:pPr>
      <w:r>
        <w:rPr>
          <w:rFonts w:ascii="Times New Roman" w:cs="Times New Roman" w:eastAsia="Times New Roman" w:hAnsi="Times New Roman"/>
          <w:sz w:val="24"/>
          <w:szCs w:val="24"/>
        </w:rPr>
        <w:t xml:space="preserve">Planned firing counts are 4 Estes F15-4 motors for flight testing and 13 plugged Estes F15-0 motors for ground testing (6 on the TVC balance at three firings per actuator system, 5 on the static/materials stand, and 2 in reserve), plus 4 to 6 Estes/AeroTech E16-4 motors for stand commissioning. The F15-0 and F15-4 share an identical thrust curve (same F15 propellant); the 0-delay F15-0 is used on the ground so that no ejection charge fires into the stand fixtures, while the flight motor carries the four-second delay whose ejection charge is the recovery system. Each stand's load cells are first dead-weight calibrated, then commissioned with at least two low-cost E16-4 firings before any F15-0 data-collection firing, to confirm the as-built stand reproduces the motor's published reference curve.</w:t>
      </w:r>
    </w:p>
    <w:p>
      <w:pPr>
        <w:pStyle w:val="Heading2"/>
        <w:spacing w:after="100" w:before="180"/>
      </w:pPr>
      <w:r>
        <w:rPr>
          <w:rFonts w:ascii="Times New Roman" w:cs="Times New Roman" w:eastAsia="Times New Roman" w:hAnsi="Times New Roman"/>
          <w:b/>
          <w:bCs/>
          <w:sz w:val="26"/>
          <w:szCs w:val="26"/>
        </w:rPr>
        <w:t xml:space="preserve">Recovery System</w:t>
      </w:r>
    </w:p>
    <w:p>
      <w:pPr>
        <w:spacing w:after="140" w:line="276" w:lineRule="auto"/>
        <w:ind w:firstLine="720"/>
        <w:jc w:val="both"/>
      </w:pPr>
      <w:r>
        <w:rPr>
          <w:rFonts w:ascii="Times New Roman" w:cs="Times New Roman" w:eastAsia="Times New Roman" w:hAnsi="Times New Roman"/>
          <w:sz w:val="24"/>
          <w:szCs w:val="24"/>
        </w:rPr>
        <w:t xml:space="preserve">Recovery is initiated not by an independent electronic altimeter but by the flight motor's own factory ejection charge: the flight configuration uses an Estes F15-4 (four-second ejection delay) in place of the ground F15-0, so that approximately four seconds after burnout - t approximately 7.45 s, roughly 0.64 s past the predicted apogee - the motor's integral ejection charge fires. Because the flight-computer bay is sealed gas-tight between the two structural bulkheads, the hot ejection gas is not permitted to vent through the avionics; it is instead routed through a dedicated solid-walled bypass tube (12 mm internal diameter, flame-retardant polycarbonate) from an ejection plenum at the motor-side bulkhead, alongside the sealed flight-computer bay, to the recovery bay, where it pressurizes the bay and releases a friction-fit nose cone carrying the parachute. A first-order feasibility analysis supports the approach on two grounds: the bypass tube imposes a negligible flow penalty (pressure loss on the order of 0.06 kPa across the 12 mm bore), and the recovery bay pressurizes to approximately 140 kPa against a friction-fit nose-release threshold of 14 to 41 kPa, a pressurization margin of roughly 3.4 times. This motor-ejection architecture eliminates the independent recovery computer, its isolated battery, and the pyrotechnic charge of earlier designs, reducing parts count and an entire electronic failure domain at the cost of a single passive deployment event, a trade justified by the pressurization margin and the finned airframe's aerodynamic stability through apogee. A 1/8-inch tubular Kevlar shock cord and an 18-inch ripstop nylon canopy (shielded from the ejection gas by a Nomex blanket) yield a predicted terminal descent rate near 6 m/s; the recovery-bay bulkhead and bypass tube are checked against the 140 kPa ejection pressure in the structural analysis, returning safety factors of approximately 8 times and 107 times respectively.</w:t>
      </w:r>
    </w:p>
    <w:p>
      <w:pPr>
        <w:pStyle w:val="Heading2"/>
        <w:spacing w:after="100" w:before="180"/>
      </w:pPr>
      <w:r>
        <w:rPr>
          <w:rFonts w:ascii="Times New Roman" w:cs="Times New Roman" w:eastAsia="Times New Roman" w:hAnsi="Times New Roman"/>
          <w:b/>
          <w:bCs/>
          <w:sz w:val="26"/>
          <w:szCs w:val="26"/>
        </w:rPr>
        <w:t xml:space="preserve">Simulations, Firmware, and Modelling</w:t>
      </w:r>
    </w:p>
    <w:p>
      <w:pPr>
        <w:spacing w:after="140" w:line="276" w:lineRule="auto"/>
        <w:ind w:firstLine="720"/>
        <w:jc w:val="both"/>
      </w:pPr>
      <w:r>
        <w:rPr>
          <w:rFonts w:ascii="Times New Roman" w:cs="Times New Roman" w:eastAsia="Times New Roman" w:hAnsi="Times New Roman"/>
          <w:sz w:val="24"/>
          <w:szCs w:val="24"/>
        </w:rPr>
        <w:t xml:space="preserve">All flight-computer firmware is written for the Arduino-Pico (earlephilhower) core targeting the RP2350, implementing the dual-core partition described above: a deterministic 500 Hz control task on Core 0 and logging plus Wi-Fi telemetry on Core 1. Three loop configurations are available for Research Question 5 - proportional-only, proportional-integral, and full proportional-integral-derivative - with gains tuned by the Ziegler-Nichols (1942) step-response method for the baseline and refined by the margin and robustness analyses described above. Pre-flight trajectory prediction, center-of-pressure and center-of-mass tracking across the burn, and dispersion analysis are performed with a unified fourth-order Runge-Kutta plus Barrowman trajectory engine, cross-checked against an OpenRocket model built per the OpenRocket technical documentation (2023). A vectorized Monte-Carlo dataset generator samples the full wind, turbulence, temperature, and pressure envelope to produce millions of per-flight outcome, time-series, and closed-loop control records; a software-in-the-loop digital twin of the flight computer reproduces the state machine, sensor noise, and simulated telemetry stream for pre-flight rehearsal. For fin aerodynamics, a two-dimensional constant-strength vortex-panel method (following Kuethe and Chow) generates independent lift-curve and surface-pressure predictions for each candidate cross-section (NACA 0006, NACA 0012, a symmetric double-wedge, and a flat-plate baseline) at both the wind-tunnel and predicted-flight Reynolds numbers, validated against thin-airfoil theory before use as a pre-test prediction. Every simulation script is version-controlled alongside the dataset it produced, so that each plotted or tabulated result in this paper can be regenerated and independently checked against the as-built hardware.</w:t>
      </w:r>
    </w:p>
    <w:p>
      <w:pPr>
        <w:pStyle w:val="Heading2"/>
        <w:spacing w:after="100" w:before="180"/>
      </w:pPr>
      <w:r>
        <w:rPr>
          <w:rFonts w:ascii="Times New Roman" w:cs="Times New Roman" w:eastAsia="Times New Roman" w:hAnsi="Times New Roman"/>
          <w:b/>
          <w:bCs/>
          <w:sz w:val="26"/>
          <w:szCs w:val="26"/>
        </w:rPr>
        <w:t xml:space="preserve">Wind Tunnel</w:t>
      </w:r>
    </w:p>
    <w:p>
      <w:pPr>
        <w:spacing w:after="140" w:line="276" w:lineRule="auto"/>
        <w:ind w:firstLine="720"/>
        <w:jc w:val="both"/>
      </w:pPr>
      <w:r>
        <w:rPr>
          <w:rFonts w:ascii="Times New Roman" w:cs="Times New Roman" w:eastAsia="Times New Roman" w:hAnsi="Times New Roman"/>
          <w:sz w:val="24"/>
          <w:szCs w:val="24"/>
        </w:rPr>
        <w:t xml:space="preserve">A custom open-return, low-speed wind tunnel is constructed in parallel with the flight vehicle following the Hofferth (2025) AIAA SciTech modular configuration, comprising a bell-mouth inlet, a honeycomb-and-screen flow-conditioning section, a converging contraction sized per the area-ratio and length criteria of Bell and Mehta (1988), an optically accessible test section, and a diffuser leading to a variable-speed fan; the design also draws on the low-speed tunnel rules of Mehta and Bradshaw (1979) and the reference methodology of Pope and Harper (1966). Because Research Questions 3 and 4 require accurate aerodynamic force measurement rather than maximum airspeed, fan selection is driven by test-section velocity stability and acoustic noise floor: a self-contained electronically-commutated axial fan with an integrated speed controller is selected as the baseline, with a compact high-static-pressure centrifugal fan retained as a backup. Prior to aerodynamic testing, the tunnel is characterized across its operating range with a traversed Pitot-static probe to map freestream velocity and spatial uniformity (target under 2 percent RMS variation in the core), blockage corrections are applied to all measured drag coefficients by the Maskell (1963) method, and the fan operating point that produces a Reynolds-number similarity ratio matching predicted flight conditions is identified as the calibrated test condition. Each fabricated fin article is mounted on a deflection-indexed single-fin test mount permitting controlled 0.5-degree angle-of-attack increments; lift and drag are recorded from 0 degrees through stall with at least three repeated runs per angle, and the resulting coefficients are validated against the tabulated data of Selig (2003) and Selig, Donovan, and Fraser (1989) before use in the stability calculation.</w:t>
      </w:r>
    </w:p>
    <w:p>
      <w:pPr>
        <w:pStyle w:val="Heading2"/>
        <w:spacing w:after="100" w:before="180"/>
      </w:pPr>
      <w:r>
        <w:rPr>
          <w:rFonts w:ascii="Times New Roman" w:cs="Times New Roman" w:eastAsia="Times New Roman" w:hAnsi="Times New Roman"/>
          <w:b/>
          <w:bCs/>
          <w:sz w:val="26"/>
          <w:szCs w:val="26"/>
        </w:rPr>
        <w:t xml:space="preserve">Flights, Logs, and Data Sharing</w:t>
      </w:r>
    </w:p>
    <w:p>
      <w:pPr>
        <w:spacing w:after="140" w:line="276" w:lineRule="auto"/>
        <w:ind w:firstLine="720"/>
        <w:jc w:val="both"/>
      </w:pPr>
      <w:r>
        <w:rPr>
          <w:rFonts w:ascii="Times New Roman" w:cs="Times New Roman" w:eastAsia="Times New Roman" w:hAnsi="Times New Roman"/>
          <w:sz w:val="24"/>
          <w:szCs w:val="24"/>
        </w:rPr>
        <w:t xml:space="preserve">All flights are conducted in compliance with the National Association of Rocketry (2023) safety code and motor classification standards, under the supervision of a NAR-certified or similarly qualified range safety officer. All flights use a single Estes F15-4 motor (49.6 N-s total impulse, 60 g propellant, F-class), and the fully loaded liftoff mass of 705 g is well under the FAA Class 1 (model rocket) threshold of 1,500 g per motor, requiring no airworthiness waiver and no high-power certification. Range procedures include remote ignition, a minimum 3 m personnel standoff from both ground-test stands during firing, a fail-safe neutral-gimbal default on any control-system fault, and standard motor-handling discipline for the motor's integral ejection charge - the igniter is installed last, at the pad, and there are no independent pyrotechnic or electronic ejection circuits in the vehicle to arm or inhibit. Multiple flights are conducted under each candidate gain set, and post-flight telemetry recovered from the onboard microSD log is analyzed for peak pitch deviation, gimbal-angle utilization, and settling behavior to determine which configuration produces the most accurate and best-damped tracking; where the Wi-Fi telemetry link is in range, a parallel live feed is monitored for real-time anomaly detection, though the onboard log remains the data of record. Upon conclusion of the program, all CAD files, firmware source code, simulation scripts, and the complete flight and ground-test datasets are released through a version-controlled, publicly accessible repository in support of the program's open-source objectives.</w:t>
      </w:r>
    </w:p>
    <w:p>
      <w:pPr>
        <w:pStyle w:val="Heading1"/>
        <w:spacing w:after="140" w:before="240"/>
      </w:pPr>
      <w:r>
        <w:rPr>
          <w:rFonts w:ascii="Times New Roman" w:cs="Times New Roman" w:eastAsia="Times New Roman" w:hAnsi="Times New Roman"/>
          <w:b/>
          <w:bCs/>
          <w:sz w:val="36"/>
          <w:szCs w:val="36"/>
        </w:rPr>
        <w:t xml:space="preserve">Expected Outcomes</w:t>
      </w:r>
    </w:p>
    <w:p>
      <w:pPr>
        <w:spacing w:after="140" w:line="276" w:lineRule="auto"/>
        <w:ind w:firstLine="720"/>
        <w:jc w:val="both"/>
      </w:pPr>
      <w:r>
        <w:rPr>
          <w:rFonts w:ascii="Times New Roman" w:cs="Times New Roman" w:eastAsia="Times New Roman" w:hAnsi="Times New Roman"/>
          <w:sz w:val="24"/>
          <w:szCs w:val="24"/>
        </w:rPr>
        <w:t xml:space="preserve">We expect the program to produce a quantitative, ground-validated comparison of magnetic-solenoid and servo thrust-vector-control actuators - including bandwidth, slew rate, overshoot, and steady-state error for each - directly informing actuator selection for future closed-loop rocketry programs without requiring a dedicated in-flight A/B comparison. We expect the thermally-zoned additive-manufacturing material allocation to demonstrate a measurable dry-mass reduction (approximately 130 to 150 g, or roughly 15 to 20 percent of dry mass) relative to a uniform heat-rated-material baseline with no corresponding loss of structural margin, offering a transferable design pattern for hobbyist and academic rocketry programs, a question not commonly addressed in a literature that tends to prefer wood or fiberglass construction. Wind-tunnel-derived aerodynamic coefficients for the flight fin geometry, cross-validated against flight telemetry, will be released as an open dataset that also characterizes the program's custom low-speed tunnel as a viable, low-cost ground-test instrument for the broader rocketry and STEM-education community. Finally, we expect the flight-validated comparison of control-loop gain configurations on a consolidated dual-core single-controller architecture to clarify the practical control-authority and determinism benefits of separating real-time control execution from logging and telemetry I/O on a single low-cost microcontroller, relative to either a single-threaded controller or a distributed multi-board avionics stack. We hope to release all resulting design files, firmware, simulation code, and datasets publicly through the National Association of Rocketry, and to develop the rocket components into either fielded products or reproducible open systems, while committing to full open-source designs and data sharing.</w:t>
      </w:r>
    </w:p>
    <w:p>
      <w:pPr>
        <w:pStyle w:val="Heading1"/>
        <w:spacing w:after="140" w:before="240"/>
      </w:pPr>
      <w:r>
        <w:rPr>
          <w:rFonts w:ascii="Times New Roman" w:cs="Times New Roman" w:eastAsia="Times New Roman" w:hAnsi="Times New Roman"/>
          <w:b/>
          <w:bCs/>
          <w:sz w:val="36"/>
          <w:szCs w:val="36"/>
        </w:rPr>
        <w:t xml:space="preserve">References</w:t>
      </w:r>
    </w:p>
    <w:p>
      <w:pPr>
        <w:spacing w:after="120" w:line="276" w:lineRule="auto"/>
        <w:ind w:left="720" w:hanging="720"/>
      </w:pPr>
      <w:r>
        <w:rPr>
          <w:rFonts w:ascii="Times New Roman" w:cs="Times New Roman" w:eastAsia="Times New Roman" w:hAnsi="Times New Roman"/>
          <w:sz w:val="24"/>
          <w:szCs w:val="24"/>
        </w:rPr>
        <w:t xml:space="preserve">Abbott, I. H., &amp; Von Doenhoff, A. E. (1959). Theory of wing sections: Including a summary of airfoil data. Dover Publications.</w:t>
      </w:r>
    </w:p>
    <w:p>
      <w:pPr>
        <w:spacing w:after="120" w:line="276" w:lineRule="auto"/>
        <w:ind w:left="720" w:hanging="720"/>
      </w:pPr>
      <w:r>
        <w:rPr>
          <w:rFonts w:ascii="Times New Roman" w:cs="Times New Roman" w:eastAsia="Times New Roman" w:hAnsi="Times New Roman"/>
          <w:sz w:val="24"/>
          <w:szCs w:val="24"/>
        </w:rPr>
        <w:t xml:space="preserve">Barrowman, J. S. (1967). The practical calculation of the aerodynamic characteristics of slender finned vehicles (NASA NTRS accession 20010047838). https://ntrs.nasa.gov/citations/20010047838</w:t>
      </w:r>
    </w:p>
    <w:p>
      <w:pPr>
        <w:spacing w:after="120" w:line="276" w:lineRule="auto"/>
        <w:ind w:left="720" w:hanging="720"/>
      </w:pPr>
      <w:r>
        <w:rPr>
          <w:rFonts w:ascii="Times New Roman" w:cs="Times New Roman" w:eastAsia="Times New Roman" w:hAnsi="Times New Roman"/>
          <w:sz w:val="24"/>
          <w:szCs w:val="24"/>
        </w:rPr>
        <w:t xml:space="preserve">Bell, J. H., &amp; Mehta, R. D. (1988). Contraction design for small low-speed wind tunnels (NASA CR-182747). https://ntrs.nasa.gov/api/citations/19880012661/downloads/19880012661.pdf</w:t>
      </w:r>
    </w:p>
    <w:p>
      <w:pPr>
        <w:spacing w:after="120" w:line="276" w:lineRule="auto"/>
        <w:ind w:left="720" w:hanging="720"/>
      </w:pPr>
      <w:r>
        <w:rPr>
          <w:rFonts w:ascii="Times New Roman" w:cs="Times New Roman" w:eastAsia="Times New Roman" w:hAnsi="Times New Roman"/>
          <w:sz w:val="24"/>
          <w:szCs w:val="24"/>
        </w:rPr>
        <w:t xml:space="preserve">Bhandari, S., Lopez-Anido, R. A., &amp; Gardner, D. J. (2019). Enhancing the interlayer tensile strength of 3D printed short carbon fiber reinforced PETG. Composites Part B: Engineering, 179, 107542. https://doi.org/10.1016/j.compositesb.2019.107542</w:t>
      </w:r>
    </w:p>
    <w:p>
      <w:pPr>
        <w:spacing w:after="120" w:line="276" w:lineRule="auto"/>
        <w:ind w:left="720" w:hanging="720"/>
      </w:pPr>
      <w:r>
        <w:rPr>
          <w:rFonts w:ascii="Times New Roman" w:cs="Times New Roman" w:eastAsia="Times New Roman" w:hAnsi="Times New Roman"/>
          <w:sz w:val="24"/>
          <w:szCs w:val="24"/>
        </w:rPr>
        <w:t xml:space="preserve">Bosch Sensortec. (n.d.). BNO085 9-axis absolute orientation IMU - datasheet.</w:t>
      </w:r>
    </w:p>
    <w:p>
      <w:pPr>
        <w:spacing w:after="120" w:line="276" w:lineRule="auto"/>
        <w:ind w:left="720" w:hanging="720"/>
      </w:pPr>
      <w:r>
        <w:rPr>
          <w:rFonts w:ascii="Times New Roman" w:cs="Times New Roman" w:eastAsia="Times New Roman" w:hAnsi="Times New Roman"/>
          <w:sz w:val="24"/>
          <w:szCs w:val="24"/>
        </w:rPr>
        <w:t xml:space="preserve">BPS.space. (n.d.). Thrust vector control. Retrieved from https://bps.space/products/thrust-vector-control</w:t>
      </w:r>
    </w:p>
    <w:p>
      <w:pPr>
        <w:spacing w:after="120" w:line="276" w:lineRule="auto"/>
        <w:ind w:left="720" w:hanging="720"/>
      </w:pPr>
      <w:r>
        <w:rPr>
          <w:rFonts w:ascii="Times New Roman" w:cs="Times New Roman" w:eastAsia="Times New Roman" w:hAnsi="Times New Roman"/>
          <w:sz w:val="24"/>
          <w:szCs w:val="24"/>
        </w:rPr>
        <w:t xml:space="preserve">Dizon, J. R. C., Espera, A. H., Chen, Q., &amp; Advincula, R. C. (2018). Mechanical characterization of 3D-printed polymers. Additive Manufacturing, 20, 44-67. https://doi.org/10.1016/j.addma.2017.12.002</w:t>
      </w:r>
    </w:p>
    <w:p>
      <w:pPr>
        <w:spacing w:after="120" w:line="276" w:lineRule="auto"/>
        <w:ind w:left="720" w:hanging="720"/>
      </w:pPr>
      <w:r>
        <w:rPr>
          <w:rFonts w:ascii="Times New Roman" w:cs="Times New Roman" w:eastAsia="Times New Roman" w:hAnsi="Times New Roman"/>
          <w:sz w:val="24"/>
          <w:szCs w:val="24"/>
        </w:rPr>
        <w:t xml:space="preserve">Hofferth, J. (2025). Modular wind tunnel for STEM education. AIAA SciTech 2025 Forum. https://doi.org/10.2514/6.2025-2630</w:t>
      </w:r>
    </w:p>
    <w:p>
      <w:pPr>
        <w:spacing w:after="120" w:line="276" w:lineRule="auto"/>
        <w:ind w:left="720" w:hanging="720"/>
      </w:pPr>
      <w:r>
        <w:rPr>
          <w:rFonts w:ascii="Times New Roman" w:cs="Times New Roman" w:eastAsia="Times New Roman" w:hAnsi="Times New Roman"/>
          <w:sz w:val="24"/>
          <w:szCs w:val="24"/>
        </w:rPr>
        <w:t xml:space="preserve">Hsueh, M.-H., Lai, C.-J., Liu, K.-Y., Chung, C.-F., Wang, S.-H., Pan, C.-Y., Huang, W.-C., Hsieh, C.-H., &amp; Zeng, Y.-S. (2021). Effects of printing parameters on the thermal and mechanical properties of 3D-printed PLA and PETG. Polymers, 13(13), 2092. https://doi.org/10.3390/polym13132092</w:t>
      </w:r>
    </w:p>
    <w:p>
      <w:pPr>
        <w:spacing w:after="120" w:line="276" w:lineRule="auto"/>
        <w:ind w:left="720" w:hanging="720"/>
      </w:pPr>
      <w:r>
        <w:rPr>
          <w:rFonts w:ascii="Times New Roman" w:cs="Times New Roman" w:eastAsia="Times New Roman" w:hAnsi="Times New Roman"/>
          <w:sz w:val="24"/>
          <w:szCs w:val="24"/>
        </w:rPr>
        <w:t xml:space="preserve">Kuethe, A. M., &amp; Chow, C.-Y. (1998). Foundations of aerodynamics: Bases of aerodynamic design (5th ed.). Wiley.</w:t>
      </w:r>
    </w:p>
    <w:p>
      <w:pPr>
        <w:spacing w:after="120" w:line="276" w:lineRule="auto"/>
        <w:ind w:left="720" w:hanging="720"/>
      </w:pPr>
      <w:r>
        <w:rPr>
          <w:rFonts w:ascii="Times New Roman" w:cs="Times New Roman" w:eastAsia="Times New Roman" w:hAnsi="Times New Roman"/>
          <w:sz w:val="24"/>
          <w:szCs w:val="24"/>
        </w:rPr>
        <w:t xml:space="preserve">Lissaman, P. B. S. (1983). Low-Reynolds-number airfoils. Annual Review of Fluid Mechanics, 15, 223-239.</w:t>
      </w:r>
    </w:p>
    <w:p>
      <w:pPr>
        <w:spacing w:after="120" w:line="276" w:lineRule="auto"/>
        <w:ind w:left="720" w:hanging="720"/>
      </w:pPr>
      <w:r>
        <w:rPr>
          <w:rFonts w:ascii="Times New Roman" w:cs="Times New Roman" w:eastAsia="Times New Roman" w:hAnsi="Times New Roman"/>
          <w:sz w:val="24"/>
          <w:szCs w:val="24"/>
        </w:rPr>
        <w:t xml:space="preserve">Maskell, E. C. (1963). A theory of the blockage effects on bluff bodies and stalled wings in a closed wind tunnel (ARC R&amp;M 3400). Aeronautical Research Council.</w:t>
      </w:r>
    </w:p>
    <w:p>
      <w:pPr>
        <w:spacing w:after="120" w:line="276" w:lineRule="auto"/>
        <w:ind w:left="720" w:hanging="720"/>
      </w:pPr>
      <w:r>
        <w:rPr>
          <w:rFonts w:ascii="Times New Roman" w:cs="Times New Roman" w:eastAsia="Times New Roman" w:hAnsi="Times New Roman"/>
          <w:sz w:val="24"/>
          <w:szCs w:val="24"/>
        </w:rPr>
        <w:t xml:space="preserve">Mehta, R. D., &amp; Bradshaw, P. (1979). Design rules for small low speed wind tunnels. Aeronautical Journal, 83(827), 443-449. https://doi.org/10.1017/S0001924000031985</w:t>
      </w:r>
    </w:p>
    <w:p>
      <w:pPr>
        <w:spacing w:after="120" w:line="276" w:lineRule="auto"/>
        <w:ind w:left="720" w:hanging="720"/>
      </w:pPr>
      <w:r>
        <w:rPr>
          <w:rFonts w:ascii="Times New Roman" w:cs="Times New Roman" w:eastAsia="Times New Roman" w:hAnsi="Times New Roman"/>
          <w:sz w:val="24"/>
          <w:szCs w:val="24"/>
        </w:rPr>
        <w:t xml:space="preserve">Mueller, T. J., &amp; DeLaurier, J. D. (2003). Aerodynamics of small vehicles. Annual Review of Fluid Mechanics, 35, 89-111. https://doi.org/10.1146/annurev.fluid.35.101101.161102</w:t>
      </w:r>
    </w:p>
    <w:p>
      <w:pPr>
        <w:spacing w:after="120" w:line="276" w:lineRule="auto"/>
        <w:ind w:left="720" w:hanging="720"/>
      </w:pPr>
      <w:r>
        <w:rPr>
          <w:rFonts w:ascii="Times New Roman" w:cs="Times New Roman" w:eastAsia="Times New Roman" w:hAnsi="Times New Roman"/>
          <w:sz w:val="24"/>
          <w:szCs w:val="24"/>
        </w:rPr>
        <w:t xml:space="preserve">National Association of Rocketry. (2023). NAR safety code and motor classification standards. https://www.nar.org/safety-information/</w:t>
      </w:r>
    </w:p>
    <w:p>
      <w:pPr>
        <w:spacing w:after="120" w:line="276" w:lineRule="auto"/>
        <w:ind w:left="720" w:hanging="720"/>
      </w:pPr>
      <w:r>
        <w:rPr>
          <w:rFonts w:ascii="Times New Roman" w:cs="Times New Roman" w:eastAsia="Times New Roman" w:hAnsi="Times New Roman"/>
          <w:sz w:val="24"/>
          <w:szCs w:val="24"/>
        </w:rPr>
        <w:t xml:space="preserve">OpenRocket Project. (2023). OpenRocket technical documentation v23.09. https://openrocket.info/documentation.html</w:t>
      </w:r>
    </w:p>
    <w:p>
      <w:pPr>
        <w:spacing w:after="120" w:line="276" w:lineRule="auto"/>
        <w:ind w:left="720" w:hanging="720"/>
      </w:pPr>
      <w:r>
        <w:rPr>
          <w:rFonts w:ascii="Times New Roman" w:cs="Times New Roman" w:eastAsia="Times New Roman" w:hAnsi="Times New Roman"/>
          <w:sz w:val="24"/>
          <w:szCs w:val="24"/>
        </w:rPr>
        <w:t xml:space="preserve">Popescu, D., Zapciu, A., Amza, C., Baciu, F., &amp; Marinescu, R. (2018). FDM process parameters influence over the mechanical properties of polymer specimens. Polymer Testing, 69, 157-166. https://doi.org/10.1016/j.polymertesting.2018.05.020</w:t>
      </w:r>
    </w:p>
    <w:p>
      <w:pPr>
        <w:spacing w:after="120" w:line="276" w:lineRule="auto"/>
        <w:ind w:left="720" w:hanging="720"/>
      </w:pPr>
      <w:r>
        <w:rPr>
          <w:rFonts w:ascii="Times New Roman" w:cs="Times New Roman" w:eastAsia="Times New Roman" w:hAnsi="Times New Roman"/>
          <w:sz w:val="24"/>
          <w:szCs w:val="24"/>
        </w:rPr>
        <w:t xml:space="preserve">Pope, A., &amp; Harper, J. J. (1966). Low-speed wind tunnel testing. Wiley.</w:t>
      </w:r>
    </w:p>
    <w:p>
      <w:pPr>
        <w:spacing w:after="120" w:line="276" w:lineRule="auto"/>
        <w:ind w:left="720" w:hanging="720"/>
      </w:pPr>
      <w:r>
        <w:rPr>
          <w:rFonts w:ascii="Times New Roman" w:cs="Times New Roman" w:eastAsia="Times New Roman" w:hAnsi="Times New Roman"/>
          <w:sz w:val="24"/>
          <w:szCs w:val="24"/>
        </w:rPr>
        <w:t xml:space="preserve">Raspberry Pi Ltd. (2024). RP2350 datasheet.</w:t>
      </w:r>
    </w:p>
    <w:p>
      <w:pPr>
        <w:spacing w:after="120" w:line="276" w:lineRule="auto"/>
        <w:ind w:left="720" w:hanging="720"/>
      </w:pPr>
      <w:r>
        <w:rPr>
          <w:rFonts w:ascii="Times New Roman" w:cs="Times New Roman" w:eastAsia="Times New Roman" w:hAnsi="Times New Roman"/>
          <w:sz w:val="24"/>
          <w:szCs w:val="24"/>
        </w:rPr>
        <w:t xml:space="preserve">Sahoo, S. (2026, April 11). WYVERN PTD Portal. Skylight Industries. https://wyvern-e.base44.app/</w:t>
      </w:r>
    </w:p>
    <w:p>
      <w:pPr>
        <w:spacing w:after="120" w:line="276" w:lineRule="auto"/>
        <w:ind w:left="720" w:hanging="720"/>
      </w:pPr>
      <w:r>
        <w:rPr>
          <w:rFonts w:ascii="Times New Roman" w:cs="Times New Roman" w:eastAsia="Times New Roman" w:hAnsi="Times New Roman"/>
          <w:sz w:val="24"/>
          <w:szCs w:val="24"/>
        </w:rPr>
        <w:t xml:space="preserve">Selig, M. S. (2003). UIUC airfoil data site. University of Illinois at Urbana-Champaign. https://m-selig.ae.illinois.edu/ads.html</w:t>
      </w:r>
    </w:p>
    <w:p>
      <w:pPr>
        <w:spacing w:after="120" w:line="276" w:lineRule="auto"/>
        <w:ind w:left="720" w:hanging="720"/>
      </w:pPr>
      <w:r>
        <w:rPr>
          <w:rFonts w:ascii="Times New Roman" w:cs="Times New Roman" w:eastAsia="Times New Roman" w:hAnsi="Times New Roman"/>
          <w:sz w:val="24"/>
          <w:szCs w:val="24"/>
        </w:rPr>
        <w:t xml:space="preserve">Selig, M. S., Donovan, J. F., &amp; Fraser, D. B. (1989). Airfoils at low speeds (Soartech 8). SoarTech Publications.</w:t>
      </w:r>
    </w:p>
    <w:p>
      <w:pPr>
        <w:spacing w:after="120" w:line="276" w:lineRule="auto"/>
        <w:ind w:left="720" w:hanging="720"/>
      </w:pPr>
      <w:r>
        <w:rPr>
          <w:rFonts w:ascii="Times New Roman" w:cs="Times New Roman" w:eastAsia="Times New Roman" w:hAnsi="Times New Roman"/>
          <w:sz w:val="24"/>
          <w:szCs w:val="24"/>
        </w:rPr>
        <w:t xml:space="preserve">Ziegler, J. G., &amp; Nichols, N. B. (1942). Optimum settings for automatic controllers. Transactions of the ASME, 64, 759-768.</w:t>
      </w:r>
    </w:p>
    <w:p>
      <w:pPr>
        <w:pStyle w:val="Heading1"/>
        <w:spacing w:after="140" w:before="240"/>
      </w:pPr>
      <w:r>
        <w:rPr>
          <w:rFonts w:ascii="Times New Roman" w:cs="Times New Roman" w:eastAsia="Times New Roman" w:hAnsi="Times New Roman"/>
          <w:b/>
          <w:bCs/>
          <w:sz w:val="36"/>
          <w:szCs w:val="36"/>
        </w:rPr>
        <w:t xml:space="preserve">Past Abstracts</w:t>
      </w:r>
    </w:p>
    <w:p>
      <w:pPr>
        <w:pStyle w:val="Heading2"/>
        <w:spacing w:after="100" w:before="180"/>
      </w:pPr>
      <w:r>
        <w:rPr>
          <w:rFonts w:ascii="Times New Roman" w:cs="Times New Roman" w:eastAsia="Times New Roman" w:hAnsi="Times New Roman"/>
          <w:b/>
          <w:bCs/>
          <w:sz w:val="26"/>
          <w:szCs w:val="26"/>
        </w:rPr>
        <w:t xml:space="preserve">Swaroop Sahoo</w:t>
      </w:r>
    </w:p>
    <w:p>
      <w:pPr>
        <w:spacing w:after="80"/>
      </w:pPr>
      <w:r>
        <w:rPr>
          <w:rFonts w:ascii="Times New Roman" w:cs="Times New Roman" w:eastAsia="Times New Roman" w:hAnsi="Times New Roman"/>
          <w:b/>
          <w:bCs/>
          <w:sz w:val="24"/>
          <w:szCs w:val="24"/>
        </w:rPr>
        <w:t xml:space="preserve">Evaluating the Efficiency, Practicality, and Effectiveness of Emission/Reception-Capable LiDAR and RaDAR Detection Systems in Autonomous Navigation</w:t>
      </w:r>
    </w:p>
    <w:p>
      <w:pPr>
        <w:spacing w:after="140" w:line="276" w:lineRule="auto"/>
        <w:ind w:firstLine="720"/>
        <w:jc w:val="both"/>
      </w:pPr>
      <w:r>
        <w:rPr>
          <w:rFonts w:ascii="Times New Roman" w:cs="Times New Roman" w:eastAsia="Times New Roman" w:hAnsi="Times New Roman"/>
          <w:sz w:val="24"/>
          <w:szCs w:val="24"/>
        </w:rPr>
        <w:t xml:space="preserve">Autonomous vehicles are swiftly evolving from experimental prototypes to a social norm. Advanced emitter-based sensor technologies, including LiDAR and RaDAR, are at the heart of these developments. This research has explored, through an analysis of raw performance, which is best for autonomous navigation systems. With an R2 Smart Car, we had extensive testing with the setup to ascertain detection capability across various terrains and conditions. We hypothesized that if an autonomous vehicle employs LiDAR sensors rather than RaDAR sensors, it will realize better detection owing to its higher resolution, precision, and finer performance for short-range distances. During our trials, LiDAR always outperformed RaDAR concerning precision and the recognition of objects within close and medium ranges. However, RaDAR showed better performance in adverse weather conditions, proving that it is more resistant to environmental stressors. Despite LiDAR's superior detection performance, several challenges were identified: higher cost, greater energy demands, and limited field of view. RaDAR, though less effective in performance, claims advantages regarding cost-efficiency, weather robustness, and lower battery requirements. These considerations become critical in balancing efficiency against function while designing a self-driving vehicle. This experiment shows that such a multi-sensor approach is needed to put together the strengths of LiDAR and RaDAR to attain maximum detection accuracy and system reliability. Such integration will be imperative for making robust, cost-effective autonomous systems that are capable of navigating diverse real-world conditions and thereby fostering the feasibility and safety of autonomous vehicles in mainstream society.</w:t>
      </w:r>
    </w:p>
    <w:p>
      <w:pPr>
        <w:pStyle w:val="Heading2"/>
        <w:spacing w:after="100" w:before="180"/>
      </w:pPr>
      <w:r>
        <w:rPr>
          <w:rFonts w:ascii="Times New Roman" w:cs="Times New Roman" w:eastAsia="Times New Roman" w:hAnsi="Times New Roman"/>
          <w:b/>
          <w:bCs/>
          <w:sz w:val="26"/>
          <w:szCs w:val="26"/>
        </w:rPr>
        <w:t xml:space="preserve">Chris Liu</w:t>
      </w:r>
    </w:p>
    <w:p>
      <w:pPr>
        <w:spacing w:after="80"/>
      </w:pPr>
      <w:r>
        <w:rPr>
          <w:rFonts w:ascii="Times New Roman" w:cs="Times New Roman" w:eastAsia="Times New Roman" w:hAnsi="Times New Roman"/>
          <w:b/>
          <w:bCs/>
          <w:sz w:val="24"/>
          <w:szCs w:val="24"/>
        </w:rPr>
        <w:t xml:space="preserve">In-Situ Resource Utilization-Derived Iron Perchlorate Redox Flow Battery for Mars: Electrolyte Characterization and Extreme Cold Performance Validation</w:t>
      </w:r>
    </w:p>
    <w:p>
      <w:pPr>
        <w:spacing w:after="140" w:line="276" w:lineRule="auto"/>
        <w:ind w:firstLine="720"/>
        <w:jc w:val="both"/>
      </w:pPr>
      <w:r>
        <w:rPr>
          <w:rFonts w:ascii="Times New Roman" w:cs="Times New Roman" w:eastAsia="Times New Roman" w:hAnsi="Times New Roman"/>
          <w:sz w:val="24"/>
          <w:szCs w:val="24"/>
        </w:rPr>
        <w:t xml:space="preserve">Sustained habitation on Mars demands robust energy storage systems capable of reliable operation under extreme cold, especially during night and dust storm periods that render conventional lithium-ion batteries ineffective. This work introduces an in-situ resource utilization (ISRU) strategy for constructing iron perchlorate redox flow batteries, fully leveraging Martian-available materials to achieve extreme cold resilience. Eutectic freezing points and ionic conductivities of three Martian-available electrolytes (iron sulfate, iron chloride, and iron perchlorate) were systematically characterized. Iron perchlorate aqueous solution at 45 wt% displayed a eutectic freezing point of -78 C, outperforming iron chloride (-55 C) and iron sulfate (-10 C). Laboratory-scale single cells were developed via computer-aided design and 3D printing, then tested under simulated Martian low-temperature conditions. The iron perchlorate system maintained 56% of its room-temperature capacity at -50 C and remained operational at -70 C, while iron chloride cells retained only 25% at -50 C and lost functionality at lower temperatures. Electrochemical impedance measurements revealed that, although electrolyte resistance increases at lower temperature, charge transfer resistance becomes the dominant limiting factor under extreme cold. The results establish that ISRU-derived iron perchlorate flow batteries offer a feasible, cold-resilient solution for reliable energy storage in future Mars surface operations and settlement, with further performance gains likely through advanced perchlorate brine formulation.</w:t>
      </w:r>
    </w:p>
    <w:p>
      <w:pPr>
        <w:pStyle w:val="Heading2"/>
        <w:spacing w:after="100" w:before="180"/>
      </w:pPr>
      <w:r>
        <w:rPr>
          <w:rFonts w:ascii="Times New Roman" w:cs="Times New Roman" w:eastAsia="Times New Roman" w:hAnsi="Times New Roman"/>
          <w:b/>
          <w:bCs/>
          <w:sz w:val="26"/>
          <w:szCs w:val="26"/>
        </w:rPr>
        <w:t xml:space="preserve">Allison Hong</w:t>
      </w:r>
    </w:p>
    <w:p>
      <w:pPr>
        <w:spacing w:after="80"/>
      </w:pPr>
      <w:r>
        <w:rPr>
          <w:rFonts w:ascii="Times New Roman" w:cs="Times New Roman" w:eastAsia="Times New Roman" w:hAnsi="Times New Roman"/>
          <w:b/>
          <w:bCs/>
          <w:sz w:val="24"/>
          <w:szCs w:val="24"/>
        </w:rPr>
        <w:t xml:space="preserve">The Effects of Different Types of Synthetic Retinoids on Bacteria Inhibition: Antibacterial Properties</w:t>
      </w:r>
    </w:p>
    <w:p>
      <w:pPr>
        <w:spacing w:after="140" w:line="276" w:lineRule="auto"/>
        <w:ind w:firstLine="720"/>
        <w:jc w:val="both"/>
      </w:pPr>
      <w:r>
        <w:rPr>
          <w:rFonts w:ascii="Times New Roman" w:cs="Times New Roman" w:eastAsia="Times New Roman" w:hAnsi="Times New Roman"/>
          <w:sz w:val="24"/>
          <w:szCs w:val="24"/>
        </w:rPr>
        <w:t xml:space="preserve">Retinoids are a group of compounds including naturally occurring and synthetic vitamin A metabolites and analogs. The two most common synthetic vitamin derivatives are Tretinoin and Adapalene. This experiment aims to determine the inhibitory properties of Adapalene and Tretinoin on Escherichia coli K-12. We hypothesized that the tretinoin group would have a greater inhibitory effect than the adapalene group. We created agar petri dishes and swabbed E. coli. The dishes were incubated for six days in total. Adapalene Gel 0.1% and Tretinoin Gel 0.1% were measured and diluted with methyl alcohol. The solutions were added on day two of incubation. The bacterial growth was counted after the incubation period for the number of colonies formed on each dish. The retinoids, especially adapalene, were found to promote the growth of bacteria instead of inhibiting its growth. The data of all three groups represent a polynomial regression, with adapalene and tretinoin exhibiting an exponential pattern and the control group exhibiting a logarithmic pattern. Each result was evaluated with the statistical analysis of a t-test, and all data was significant and not random. Further research is suggested to better understand the retinoids' effects on bacterial growth and inhibition.</w:t>
      </w:r>
    </w:p>
    <w:sectPr>
      <w:head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sz w:val="20"/>
        <w:szCs w:val="20"/>
      </w:rPr>
      <w:t xml:space="preserve">WYVERN-E Flight Demonstrator Project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2026-07-15T11:50:42.747Z</dcterms:created>
  <dcterms:modified xsi:type="dcterms:W3CDTF">2026-07-15T11:50:42.747Z</dcterms:modified>
</cp:coreProperties>
</file>

<file path=docProps/custom.xml><?xml version="1.0" encoding="utf-8"?>
<Properties xmlns="http://schemas.openxmlformats.org/officeDocument/2006/custom-properties" xmlns:vt="http://schemas.openxmlformats.org/officeDocument/2006/docPropsVTypes"/>
</file>