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0"/>
          <w:szCs w:val="30"/>
        </w:rPr>
        <w:t xml:space="preserve">Project Status: Objective, Results, and Readiness for Paper Writing</w:t>
      </w:r>
    </w:p>
    <w:p>
      <w:pPr>
        <w:spacing w:after="240"/>
      </w:pPr>
      <w:r>
        <w:rPr>
          <w:i/>
          <w:iCs/>
          <w:color w:val="555555"/>
          <w:sz w:val="20"/>
          <w:szCs w:val="20"/>
        </w:rPr>
        <w:t xml:space="preserve">GAT + RL Edge-Pruning for Botnet Containment in Social IoT Graphs — a direct answer to: what was the goal, how do the results compare, and is this ready to be written up as a paper.</w:t>
      </w:r>
    </w:p>
    <w:p>
      <w:pPr>
        <w:spacing w:after="120" w:before="260"/>
      </w:pPr>
      <w:r>
        <w:rPr>
          <w:b/>
          <w:bCs/>
          <w:color w:val="1A4D8F"/>
          <w:sz w:val="26"/>
          <w:szCs w:val="26"/>
        </w:rPr>
        <w:t xml:space="preserve">1. What Was the Ultimate Objective?</w:t>
      </w:r>
    </w:p>
    <w:p>
      <w:pPr>
        <w:spacing w:after="160"/>
      </w:pPr>
      <w:r>
        <w:rPr>
          <w:sz w:val="22"/>
          <w:szCs w:val="22"/>
        </w:rPr>
        <w:t xml:space="preserve">Degree-centrality is not the project's proposed method — it is one of nine </w:t>
      </w:r>
      <w:r>
        <w:rPr>
          <w:b/>
          <w:bCs/>
          <w:sz w:val="22"/>
          <w:szCs w:val="22"/>
        </w:rPr>
        <w:t xml:space="preserve">comparison baselines</w:t>
      </w:r>
      <w:r>
        <w:rPr>
          <w:sz w:val="22"/>
          <w:szCs w:val="22"/>
        </w:rPr>
        <w:t xml:space="preserve">. The actual research question is a benchmark question: when deciding which network connections (edges) to cut to stop a botnet from spreading through a Social IoT graph, do </w:t>
      </w:r>
      <w:r>
        <w:rPr>
          <w:b/>
          <w:bCs/>
          <w:sz w:val="22"/>
          <w:szCs w:val="22"/>
        </w:rPr>
        <w:t xml:space="preserve">learned</w:t>
      </w:r>
      <w:r>
        <w:rPr>
          <w:sz w:val="22"/>
          <w:szCs w:val="22"/>
        </w:rPr>
        <w:t xml:space="preserve"> pruning methods — a Graph Attention Network's (GAT) attention weights, and a Reinforcement Learning (RL) policy built on top of them — actually beat </w:t>
      </w:r>
      <w:r>
        <w:rPr>
          <w:b/>
          <w:bCs/>
          <w:sz w:val="22"/>
          <w:szCs w:val="22"/>
        </w:rPr>
        <w:t xml:space="preserve">simple, cheap structural rules</w:t>
      </w:r>
      <w:r>
        <w:rPr>
          <w:sz w:val="22"/>
          <w:szCs w:val="22"/>
        </w:rPr>
        <w:t xml:space="preserve">, of which "remove edges touching the most-connected devices first" (degree-centrality) is the most basic example?</w:t>
      </w:r>
    </w:p>
    <w:p>
      <w:pPr>
        <w:spacing w:after="160"/>
      </w:pPr>
      <w:r>
        <w:rPr>
          <w:sz w:val="22"/>
          <w:szCs w:val="22"/>
        </w:rPr>
        <w:t xml:space="preserve">This question matters because recent security research tends to reach for a learned model by default, without first checking whether it earns its cost over an existing, much cheaper structural rule. This project was built specifically to test that assumption under realistic conditions — a hub-heavy (scale-free) graph topology, an infection model that actually responds to which edges are cut (not a flat, edge-blind probability), and a full field of nine comparison methods, evaluated with proper statistics rather than a single demonstration graph.</w:t>
      </w:r>
    </w:p>
    <w:p>
      <w:pPr>
        <w:spacing w:after="120" w:before="260"/>
      </w:pPr>
      <w:r>
        <w:rPr>
          <w:b/>
          <w:bCs/>
          <w:color w:val="1A4D8F"/>
          <w:sz w:val="26"/>
          <w:szCs w:val="26"/>
        </w:rPr>
        <w:t xml:space="preserve">2. What Was Compared, and How</w:t>
      </w:r>
    </w:p>
    <w:p>
      <w:pPr>
        <w:spacing w:after="90"/>
        <w:ind w:left="260" w:hanging="200"/>
      </w:pPr>
      <w:r>
        <w:rPr>
          <w:b w:val="false"/>
          <w:bCs w:val="false"/>
          <w:i w:val="false"/>
          <w:iCs w:val="false"/>
          <w:sz w:val="22"/>
          <w:szCs w:val="22"/>
        </w:rPr>
        <w:t xml:space="preserve">•  </w:t>
      </w:r>
      <w:r>
        <w:rPr>
          <w:b/>
          <w:bCs/>
          <w:sz w:val="22"/>
          <w:szCs w:val="22"/>
        </w:rPr>
        <w:t xml:space="preserve">Structural baselines (4):</w:t>
      </w:r>
      <w:r>
        <w:rPr>
          <w:sz w:val="22"/>
          <w:szCs w:val="22"/>
        </w:rPr>
        <w:t xml:space="preserve"> random, degree-centrality, betweenness-centrality, and eigenscore (a spectral/eigenvalue method — the approach the epidemic-containment research literature already treats as its principled standard).</w:t>
      </w:r>
    </w:p>
    <w:p>
      <w:pPr>
        <w:spacing w:after="90"/>
        <w:ind w:left="260" w:hanging="200"/>
      </w:pPr>
      <w:r>
        <w:rPr>
          <w:b w:val="false"/>
          <w:bCs w:val="false"/>
          <w:i w:val="false"/>
          <w:iCs w:val="false"/>
          <w:sz w:val="22"/>
          <w:szCs w:val="22"/>
        </w:rPr>
        <w:t xml:space="preserve">•  </w:t>
      </w:r>
      <w:r>
        <w:rPr>
          <w:b/>
          <w:bCs/>
          <w:sz w:val="22"/>
          <w:szCs w:val="22"/>
        </w:rPr>
        <w:t xml:space="preserve">Direct infection-risk baseline (1):</w:t>
      </w:r>
      <w:r>
        <w:rPr>
          <w:sz w:val="22"/>
          <w:szCs w:val="22"/>
        </w:rPr>
        <w:t xml:space="preserve"> highest-p_uv — ranks edges by their own modeled infection probability directly. This baseline only becomes possible because the infection model is feature-driven, not a flat per-edge probability.</w:t>
      </w:r>
    </w:p>
    <w:p>
      <w:pPr>
        <w:spacing w:after="90"/>
        <w:ind w:left="260" w:hanging="200"/>
      </w:pPr>
      <w:r>
        <w:rPr>
          <w:b w:val="false"/>
          <w:bCs w:val="false"/>
          <w:i w:val="false"/>
          <w:iCs w:val="false"/>
          <w:sz w:val="22"/>
          <w:szCs w:val="22"/>
        </w:rPr>
        <w:t xml:space="preserve">•  </w:t>
      </w:r>
      <w:r>
        <w:rPr>
          <w:b/>
          <w:bCs/>
          <w:sz w:val="22"/>
          <w:szCs w:val="22"/>
        </w:rPr>
        <w:t xml:space="preserve">Learned/GAT-based methods (2):</w:t>
      </w:r>
      <w:r>
        <w:rPr>
          <w:sz w:val="22"/>
          <w:szCs w:val="22"/>
        </w:rPr>
        <w:t xml:space="preserve"> two static pruning rules built on the trained GAT's (degree-corrected) attention scores.</w:t>
      </w:r>
    </w:p>
    <w:p>
      <w:pPr>
        <w:spacing w:after="90"/>
        <w:ind w:left="260" w:hanging="200"/>
      </w:pPr>
      <w:r>
        <w:rPr>
          <w:b w:val="false"/>
          <w:bCs w:val="false"/>
          <w:i w:val="false"/>
          <w:iCs w:val="false"/>
          <w:sz w:val="22"/>
          <w:szCs w:val="22"/>
        </w:rPr>
        <w:t xml:space="preserve">•  </w:t>
      </w:r>
      <w:r>
        <w:rPr>
          <w:b/>
          <w:bCs/>
          <w:sz w:val="22"/>
          <w:szCs w:val="22"/>
        </w:rPr>
        <w:t xml:space="preserve">Search-based heuristic (1):</w:t>
      </w:r>
      <w:r>
        <w:rPr>
          <w:sz w:val="22"/>
          <w:szCs w:val="22"/>
        </w:rPr>
        <w:t xml:space="preserve"> a greedy, simulation-guided method that removes whichever edge most reduces simulated infection at each step — expensive, but not "learned" in the trained-model sense.</w:t>
      </w:r>
    </w:p>
    <w:p>
      <w:pPr>
        <w:spacing w:after="90"/>
        <w:ind w:left="260" w:hanging="200"/>
      </w:pPr>
      <w:r>
        <w:rPr>
          <w:b w:val="false"/>
          <w:bCs w:val="false"/>
          <w:i w:val="false"/>
          <w:iCs w:val="false"/>
          <w:sz w:val="22"/>
          <w:szCs w:val="22"/>
        </w:rPr>
        <w:t xml:space="preserve">•  </w:t>
      </w:r>
      <w:r>
        <w:rPr>
          <w:b/>
          <w:bCs/>
          <w:sz w:val="22"/>
          <w:szCs w:val="22"/>
        </w:rPr>
        <w:t xml:space="preserve">RL policy (1):</w:t>
      </w:r>
      <w:r>
        <w:rPr>
          <w:sz w:val="22"/>
          <w:szCs w:val="22"/>
        </w:rPr>
        <w:t xml:space="preserve"> a custom Deep Q-Network that adaptively decides which edges to prune based on the graph's live state.</w:t>
      </w:r>
    </w:p>
    <w:p>
      <w:pPr>
        <w:spacing w:after="160"/>
      </w:pPr>
      <w:r>
        <w:rPr>
          <w:sz w:val="22"/>
          <w:szCs w:val="22"/>
        </w:rPr>
        <w:t xml:space="preserve">All nine methods were evaluated on </w:t>
      </w:r>
      <w:r>
        <w:rPr>
          <w:b/>
          <w:bCs/>
          <w:sz w:val="22"/>
          <w:szCs w:val="22"/>
        </w:rPr>
        <w:t xml:space="preserve">40 independent, realistic Social IoT graphs</w:t>
      </w:r>
      <w:r>
        <w:rPr>
          <w:sz w:val="22"/>
          <w:szCs w:val="22"/>
        </w:rPr>
        <w:t xml:space="preserve"> (scale-free / hub-forming, matching real device networks), with pre-registered, statistically corrected paired comparisons (Holm–Bonferroni), not a single-graph demo.</w:t>
      </w:r>
    </w:p>
    <w:p>
      <w:pPr>
        <w:spacing w:after="120" w:before="260"/>
      </w:pPr>
      <w:r>
        <w:rPr>
          <w:b/>
          <w:bCs/>
          <w:color w:val="1A4D8F"/>
          <w:sz w:val="26"/>
          <w:szCs w:val="26"/>
        </w:rPr>
        <w:t xml:space="preserve">3. The Results, In That Light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1500"/>
        <w:gridCol w:w="1500"/>
      </w:tblGrid>
      <w:tr>
        <w:tc>
          <w:tcPr>
            <w:tcW w:type="dxa" w:w="2900"/>
            <w:shd w:fill="1A4D8F" w:val="clear"/>
            <w:tcMar>
              <w:top w:type="dxa" w:w="60"/>
              <w:left w:type="dxa" w:w="100"/>
              <w:bottom w:type="dxa" w:w="60"/>
              <w:right w:type="dxa" w:w="100"/>
            </w:tcMar>
            <w:vAlign w:val="center"/>
          </w:tcPr>
          <w:p>
            <w:pPr>
              <w:jc w:val="left"/>
            </w:pPr>
            <w:r>
              <w:rPr>
                <w:b/>
                <w:bCs/>
                <w:color w:val="FFFFFF"/>
                <w:sz w:val="19"/>
                <w:szCs w:val="19"/>
              </w:rPr>
              <w:t xml:space="preserve">Method</w:t>
            </w:r>
          </w:p>
        </w:tc>
        <w:tc>
          <w:tcPr>
            <w:tcW w:type="dxa" w:w="2600"/>
            <w:shd w:fill="1A4D8F" w:val="clear"/>
            <w:tcMar>
              <w:top w:type="dxa" w:w="60"/>
              <w:left w:type="dxa" w:w="100"/>
              <w:bottom w:type="dxa" w:w="60"/>
              <w:right w:type="dxa" w:w="100"/>
            </w:tcMar>
            <w:vAlign w:val="center"/>
          </w:tcPr>
          <w:p>
            <w:pPr>
              <w:jc w:val="center"/>
            </w:pPr>
            <w:r>
              <w:rPr>
                <w:b/>
                <w:bCs/>
                <w:color w:val="FFFFFF"/>
                <w:sz w:val="19"/>
                <w:szCs w:val="19"/>
              </w:rPr>
              <w:t xml:space="preserve">Containment ratio (mean ± std)</w:t>
            </w:r>
          </w:p>
        </w:tc>
        <w:tc>
          <w:tcPr>
            <w:tcW w:type="dxa" w:w="1500"/>
            <w:shd w:fill="1A4D8F" w:val="clear"/>
            <w:tcMar>
              <w:top w:type="dxa" w:w="60"/>
              <w:left w:type="dxa" w:w="100"/>
              <w:bottom w:type="dxa" w:w="60"/>
              <w:right w:type="dxa" w:w="100"/>
            </w:tcMar>
            <w:vAlign w:val="center"/>
          </w:tcPr>
          <w:p>
            <w:pPr>
              <w:jc w:val="center"/>
            </w:pPr>
            <w:r>
              <w:rPr>
                <w:b/>
                <w:bCs/>
                <w:color w:val="FFFFFF"/>
                <w:sz w:val="19"/>
                <w:szCs w:val="19"/>
              </w:rPr>
              <w:t xml:space="preserve">Utility (F1)</w:t>
            </w:r>
          </w:p>
        </w:tc>
        <w:tc>
          <w:tcPr>
            <w:tcW w:type="dxa" w:w="1500"/>
            <w:shd w:fill="1A4D8F" w:val="clear"/>
            <w:tcMar>
              <w:top w:type="dxa" w:w="60"/>
              <w:left w:type="dxa" w:w="100"/>
              <w:bottom w:type="dxa" w:w="60"/>
              <w:right w:type="dxa" w:w="100"/>
            </w:tcMar>
            <w:vAlign w:val="center"/>
          </w:tcPr>
          <w:p>
            <w:pPr>
              <w:jc w:val="center"/>
            </w:pPr>
            <w:r>
              <w:rPr>
                <w:b/>
                <w:bCs/>
                <w:color w:val="FFFFFF"/>
                <w:sz w:val="19"/>
                <w:szCs w:val="19"/>
              </w:rPr>
              <w:t xml:space="preserve">Cost / graph</w:t>
            </w:r>
          </w:p>
        </w:tc>
      </w:tr>
      <w:tr>
        <w:tc>
          <w:tcPr>
            <w:tcW w:type="dxa" w:w="2900"/>
            <w:shd w:fill="DCEEDA" w:val="clear"/>
            <w:tcMar>
              <w:top w:type="dxa" w:w="60"/>
              <w:left w:type="dxa" w:w="100"/>
              <w:bottom w:type="dxa" w:w="60"/>
              <w:right w:type="dxa" w:w="100"/>
            </w:tcMar>
            <w:vAlign w:val="center"/>
          </w:tcPr>
          <w:p>
            <w:pPr>
              <w:jc w:val="left"/>
            </w:pPr>
            <w:r>
              <w:rPr>
                <w:b/>
                <w:bCs/>
                <w:color w:val="000000"/>
                <w:sz w:val="19"/>
                <w:szCs w:val="19"/>
              </w:rPr>
              <w:t xml:space="preserve">Degree-centrality</w:t>
            </w:r>
          </w:p>
        </w:tc>
        <w:tc>
          <w:tcPr>
            <w:tcW w:type="dxa" w:w="2600"/>
            <w:shd w:fill="DCEEDA" w:val="clear"/>
            <w:tcMar>
              <w:top w:type="dxa" w:w="60"/>
              <w:left w:type="dxa" w:w="100"/>
              <w:bottom w:type="dxa" w:w="60"/>
              <w:right w:type="dxa" w:w="100"/>
            </w:tcMar>
            <w:vAlign w:val="center"/>
          </w:tcPr>
          <w:p>
            <w:pPr>
              <w:jc w:val="center"/>
            </w:pPr>
            <w:r>
              <w:rPr>
                <w:b w:val="false"/>
                <w:bCs w:val="false"/>
                <w:color w:val="000000"/>
                <w:sz w:val="19"/>
                <w:szCs w:val="19"/>
              </w:rPr>
              <w:t xml:space="preserve">0.0331 ± 0.0061</w:t>
            </w:r>
          </w:p>
        </w:tc>
        <w:tc>
          <w:tcPr>
            <w:tcW w:type="dxa" w:w="1500"/>
            <w:shd w:fill="DCEEDA" w:val="clear"/>
            <w:tcMar>
              <w:top w:type="dxa" w:w="60"/>
              <w:left w:type="dxa" w:w="100"/>
              <w:bottom w:type="dxa" w:w="60"/>
              <w:right w:type="dxa" w:w="100"/>
            </w:tcMar>
            <w:vAlign w:val="center"/>
          </w:tcPr>
          <w:p>
            <w:pPr>
              <w:jc w:val="center"/>
            </w:pPr>
            <w:r>
              <w:rPr>
                <w:b w:val="false"/>
                <w:bCs w:val="false"/>
                <w:color w:val="000000"/>
                <w:sz w:val="19"/>
                <w:szCs w:val="19"/>
              </w:rPr>
              <w:t xml:space="preserve">0.562</w:t>
            </w:r>
          </w:p>
        </w:tc>
        <w:tc>
          <w:tcPr>
            <w:tcW w:type="dxa" w:w="1500"/>
            <w:shd w:fill="DCEEDA" w:val="clear"/>
            <w:tcMar>
              <w:top w:type="dxa" w:w="60"/>
              <w:left w:type="dxa" w:w="100"/>
              <w:bottom w:type="dxa" w:w="60"/>
              <w:right w:type="dxa" w:w="100"/>
            </w:tcMar>
            <w:vAlign w:val="center"/>
          </w:tcPr>
          <w:p>
            <w:pPr>
              <w:jc w:val="center"/>
            </w:pPr>
            <w:r>
              <w:rPr>
                <w:b w:val="false"/>
                <w:bCs w:val="false"/>
                <w:color w:val="000000"/>
                <w:sz w:val="19"/>
                <w:szCs w:val="19"/>
              </w:rPr>
              <w:t xml:space="preserve">0.011 s</w:t>
            </w:r>
          </w:p>
        </w:tc>
      </w:tr>
      <w:tr>
        <w:tc>
          <w:tcPr>
            <w:tcW w:type="dxa" w:w="2900"/>
            <w:shd w:fill="FFFFFF" w:val="clear"/>
            <w:tcMar>
              <w:top w:type="dxa" w:w="60"/>
              <w:left w:type="dxa" w:w="100"/>
              <w:bottom w:type="dxa" w:w="60"/>
              <w:right w:type="dxa" w:w="100"/>
            </w:tcMar>
            <w:vAlign w:val="center"/>
          </w:tcPr>
          <w:p>
            <w:pPr>
              <w:jc w:val="left"/>
            </w:pPr>
            <w:r>
              <w:rPr>
                <w:b/>
                <w:bCs/>
                <w:color w:val="000000"/>
                <w:sz w:val="19"/>
                <w:szCs w:val="19"/>
              </w:rPr>
              <w:t xml:space="preserve">Eigenscore (spectral)</w:t>
            </w:r>
          </w:p>
        </w:tc>
        <w:tc>
          <w:tcPr>
            <w:tcW w:type="dxa" w:w="2600"/>
            <w:shd w:fill="FFFFFF" w:val="clear"/>
            <w:tcMar>
              <w:top w:type="dxa" w:w="60"/>
              <w:left w:type="dxa" w:w="100"/>
              <w:bottom w:type="dxa" w:w="60"/>
              <w:right w:type="dxa" w:w="100"/>
            </w:tcMar>
            <w:vAlign w:val="center"/>
          </w:tcPr>
          <w:p>
            <w:pPr>
              <w:jc w:val="center"/>
            </w:pPr>
            <w:r>
              <w:rPr>
                <w:b w:val="false"/>
                <w:bCs w:val="false"/>
                <w:color w:val="000000"/>
                <w:sz w:val="19"/>
                <w:szCs w:val="19"/>
              </w:rPr>
              <w:t xml:space="preserve">0.0332 ± 0.0064</w:t>
            </w:r>
          </w:p>
        </w:tc>
        <w:tc>
          <w:tcPr>
            <w:tcW w:type="dxa" w:w="1500"/>
            <w:shd w:fill="FFFFFF" w:val="clear"/>
            <w:tcMar>
              <w:top w:type="dxa" w:w="60"/>
              <w:left w:type="dxa" w:w="100"/>
              <w:bottom w:type="dxa" w:w="60"/>
              <w:right w:type="dxa" w:w="100"/>
            </w:tcMar>
            <w:vAlign w:val="center"/>
          </w:tcPr>
          <w:p>
            <w:pPr>
              <w:jc w:val="center"/>
            </w:pPr>
            <w:r>
              <w:rPr>
                <w:b w:val="false"/>
                <w:bCs w:val="false"/>
                <w:color w:val="000000"/>
                <w:sz w:val="19"/>
                <w:szCs w:val="19"/>
              </w:rPr>
              <w:t xml:space="preserve">0.458</w:t>
            </w:r>
          </w:p>
        </w:tc>
        <w:tc>
          <w:tcPr>
            <w:tcW w:type="dxa" w:w="1500"/>
            <w:shd w:fill="FFFFFF" w:val="clear"/>
            <w:tcMar>
              <w:top w:type="dxa" w:w="60"/>
              <w:left w:type="dxa" w:w="100"/>
              <w:bottom w:type="dxa" w:w="60"/>
              <w:right w:type="dxa" w:w="100"/>
            </w:tcMar>
            <w:vAlign w:val="center"/>
          </w:tcPr>
          <w:p>
            <w:pPr>
              <w:jc w:val="center"/>
            </w:pPr>
            <w:r>
              <w:rPr>
                <w:b w:val="false"/>
                <w:bCs w:val="false"/>
                <w:color w:val="000000"/>
                <w:sz w:val="19"/>
                <w:szCs w:val="19"/>
              </w:rPr>
              <w:t xml:space="preserve">0.034 s</w:t>
            </w:r>
          </w:p>
        </w:tc>
      </w:tr>
      <w:tr>
        <w:tc>
          <w:tcPr>
            <w:tcW w:type="dxa" w:w="2900"/>
            <w:shd w:fill="EEF2F8" w:val="clear"/>
            <w:tcMar>
              <w:top w:type="dxa" w:w="60"/>
              <w:left w:type="dxa" w:w="100"/>
              <w:bottom w:type="dxa" w:w="60"/>
              <w:right w:type="dxa" w:w="100"/>
            </w:tcMar>
            <w:vAlign w:val="center"/>
          </w:tcPr>
          <w:p>
            <w:pPr>
              <w:jc w:val="left"/>
            </w:pPr>
            <w:r>
              <w:rPr>
                <w:b/>
                <w:bCs/>
                <w:color w:val="000000"/>
                <w:sz w:val="19"/>
                <w:szCs w:val="19"/>
              </w:rPr>
              <w:t xml:space="preserve">Betweenness-centrality</w:t>
            </w:r>
          </w:p>
        </w:tc>
        <w:tc>
          <w:tcPr>
            <w:tcW w:type="dxa" w:w="2600"/>
            <w:shd w:fill="EEF2F8" w:val="clear"/>
            <w:tcMar>
              <w:top w:type="dxa" w:w="60"/>
              <w:left w:type="dxa" w:w="100"/>
              <w:bottom w:type="dxa" w:w="60"/>
              <w:right w:type="dxa" w:w="100"/>
            </w:tcMar>
            <w:vAlign w:val="center"/>
          </w:tcPr>
          <w:p>
            <w:pPr>
              <w:jc w:val="center"/>
            </w:pPr>
            <w:r>
              <w:rPr>
                <w:b w:val="false"/>
                <w:bCs w:val="false"/>
                <w:color w:val="000000"/>
                <w:sz w:val="19"/>
                <w:szCs w:val="19"/>
              </w:rPr>
              <w:t xml:space="preserve">0.0361 ± 0.0058</w:t>
            </w:r>
          </w:p>
        </w:tc>
        <w:tc>
          <w:tcPr>
            <w:tcW w:type="dxa" w:w="1500"/>
            <w:shd w:fill="EEF2F8" w:val="clear"/>
            <w:tcMar>
              <w:top w:type="dxa" w:w="60"/>
              <w:left w:type="dxa" w:w="100"/>
              <w:bottom w:type="dxa" w:w="60"/>
              <w:right w:type="dxa" w:w="100"/>
            </w:tcMar>
            <w:vAlign w:val="center"/>
          </w:tcPr>
          <w:p>
            <w:pPr>
              <w:jc w:val="center"/>
            </w:pPr>
            <w:r>
              <w:rPr>
                <w:b w:val="false"/>
                <w:bCs w:val="false"/>
                <w:color w:val="000000"/>
                <w:sz w:val="19"/>
                <w:szCs w:val="19"/>
              </w:rPr>
              <w:t xml:space="preserve">0.455</w:t>
            </w:r>
          </w:p>
        </w:tc>
        <w:tc>
          <w:tcPr>
            <w:tcW w:type="dxa" w:w="1500"/>
            <w:shd w:fill="EEF2F8" w:val="clear"/>
            <w:tcMar>
              <w:top w:type="dxa" w:w="60"/>
              <w:left w:type="dxa" w:w="100"/>
              <w:bottom w:type="dxa" w:w="60"/>
              <w:right w:type="dxa" w:w="100"/>
            </w:tcMar>
            <w:vAlign w:val="center"/>
          </w:tcPr>
          <w:p>
            <w:pPr>
              <w:jc w:val="center"/>
            </w:pPr>
            <w:r>
              <w:rPr>
                <w:b w:val="false"/>
                <w:bCs w:val="false"/>
                <w:color w:val="000000"/>
                <w:sz w:val="19"/>
                <w:szCs w:val="19"/>
              </w:rPr>
              <w:t xml:space="preserve">0.611 s</w:t>
            </w:r>
          </w:p>
        </w:tc>
      </w:tr>
      <w:tr>
        <w:tc>
          <w:tcPr>
            <w:tcW w:type="dxa" w:w="2900"/>
            <w:shd w:fill="FFFFFF" w:val="clear"/>
            <w:tcMar>
              <w:top w:type="dxa" w:w="60"/>
              <w:left w:type="dxa" w:w="100"/>
              <w:bottom w:type="dxa" w:w="60"/>
              <w:right w:type="dxa" w:w="100"/>
            </w:tcMar>
            <w:vAlign w:val="center"/>
          </w:tcPr>
          <w:p>
            <w:pPr>
              <w:jc w:val="left"/>
            </w:pPr>
            <w:r>
              <w:rPr>
                <w:b/>
                <w:bCs/>
                <w:color w:val="000000"/>
                <w:sz w:val="19"/>
                <w:szCs w:val="19"/>
              </w:rPr>
              <w:t xml:space="preserve">Highest-p_uv (direct risk)</w:t>
            </w:r>
          </w:p>
        </w:tc>
        <w:tc>
          <w:tcPr>
            <w:tcW w:type="dxa" w:w="2600"/>
            <w:shd w:fill="FFFFFF" w:val="clear"/>
            <w:tcMar>
              <w:top w:type="dxa" w:w="60"/>
              <w:left w:type="dxa" w:w="100"/>
              <w:bottom w:type="dxa" w:w="60"/>
              <w:right w:type="dxa" w:w="100"/>
            </w:tcMar>
            <w:vAlign w:val="center"/>
          </w:tcPr>
          <w:p>
            <w:pPr>
              <w:jc w:val="center"/>
            </w:pPr>
            <w:r>
              <w:rPr>
                <w:b w:val="false"/>
                <w:bCs w:val="false"/>
                <w:color w:val="000000"/>
                <w:sz w:val="19"/>
                <w:szCs w:val="19"/>
              </w:rPr>
              <w:t xml:space="preserve">0.0365 ± 0.0050</w:t>
            </w:r>
          </w:p>
        </w:tc>
        <w:tc>
          <w:tcPr>
            <w:tcW w:type="dxa" w:w="1500"/>
            <w:shd w:fill="FFFFFF" w:val="clear"/>
            <w:tcMar>
              <w:top w:type="dxa" w:w="60"/>
              <w:left w:type="dxa" w:w="100"/>
              <w:bottom w:type="dxa" w:w="60"/>
              <w:right w:type="dxa" w:w="100"/>
            </w:tcMar>
            <w:vAlign w:val="center"/>
          </w:tcPr>
          <w:p>
            <w:pPr>
              <w:jc w:val="center"/>
            </w:pPr>
            <w:r>
              <w:rPr>
                <w:b w:val="false"/>
                <w:bCs w:val="false"/>
                <w:color w:val="000000"/>
                <w:sz w:val="19"/>
                <w:szCs w:val="19"/>
              </w:rPr>
              <w:t xml:space="preserve">0.423</w:t>
            </w:r>
          </w:p>
        </w:tc>
        <w:tc>
          <w:tcPr>
            <w:tcW w:type="dxa" w:w="1500"/>
            <w:shd w:fill="FFFFFF" w:val="clear"/>
            <w:tcMar>
              <w:top w:type="dxa" w:w="60"/>
              <w:left w:type="dxa" w:w="100"/>
              <w:bottom w:type="dxa" w:w="60"/>
              <w:right w:type="dxa" w:w="100"/>
            </w:tcMar>
            <w:vAlign w:val="center"/>
          </w:tcPr>
          <w:p>
            <w:pPr>
              <w:jc w:val="center"/>
            </w:pPr>
            <w:r>
              <w:rPr>
                <w:b w:val="false"/>
                <w:bCs w:val="false"/>
                <w:color w:val="000000"/>
                <w:sz w:val="19"/>
                <w:szCs w:val="19"/>
              </w:rPr>
              <w:t xml:space="preserve">0.008 s</w:t>
            </w:r>
          </w:p>
        </w:tc>
      </w:tr>
      <w:tr>
        <w:tc>
          <w:tcPr>
            <w:tcW w:type="dxa" w:w="2900"/>
            <w:shd w:fill="EEF2F8" w:val="clear"/>
            <w:tcMar>
              <w:top w:type="dxa" w:w="60"/>
              <w:left w:type="dxa" w:w="100"/>
              <w:bottom w:type="dxa" w:w="60"/>
              <w:right w:type="dxa" w:w="100"/>
            </w:tcMar>
            <w:vAlign w:val="center"/>
          </w:tcPr>
          <w:p>
            <w:pPr>
              <w:jc w:val="left"/>
            </w:pPr>
            <w:r>
              <w:rPr>
                <w:b/>
                <w:bCs/>
                <w:color w:val="000000"/>
                <w:sz w:val="19"/>
                <w:szCs w:val="19"/>
              </w:rPr>
              <w:t xml:space="preserve">GAT top-k</w:t>
            </w:r>
          </w:p>
        </w:tc>
        <w:tc>
          <w:tcPr>
            <w:tcW w:type="dxa" w:w="2600"/>
            <w:shd w:fill="EEF2F8" w:val="clear"/>
            <w:tcMar>
              <w:top w:type="dxa" w:w="60"/>
              <w:left w:type="dxa" w:w="100"/>
              <w:bottom w:type="dxa" w:w="60"/>
              <w:right w:type="dxa" w:w="100"/>
            </w:tcMar>
            <w:vAlign w:val="center"/>
          </w:tcPr>
          <w:p>
            <w:pPr>
              <w:jc w:val="center"/>
            </w:pPr>
            <w:r>
              <w:rPr>
                <w:b w:val="false"/>
                <w:bCs w:val="false"/>
                <w:color w:val="000000"/>
                <w:sz w:val="19"/>
                <w:szCs w:val="19"/>
              </w:rPr>
              <w:t xml:space="preserve">0.0372 ± 0.0060</w:t>
            </w:r>
          </w:p>
        </w:tc>
        <w:tc>
          <w:tcPr>
            <w:tcW w:type="dxa" w:w="1500"/>
            <w:shd w:fill="EEF2F8" w:val="clear"/>
            <w:tcMar>
              <w:top w:type="dxa" w:w="60"/>
              <w:left w:type="dxa" w:w="100"/>
              <w:bottom w:type="dxa" w:w="60"/>
              <w:right w:type="dxa" w:w="100"/>
            </w:tcMar>
            <w:vAlign w:val="center"/>
          </w:tcPr>
          <w:p>
            <w:pPr>
              <w:jc w:val="center"/>
            </w:pPr>
            <w:r>
              <w:rPr>
                <w:b w:val="false"/>
                <w:bCs w:val="false"/>
                <w:color w:val="000000"/>
                <w:sz w:val="19"/>
                <w:szCs w:val="19"/>
              </w:rPr>
              <w:t xml:space="preserve">0.532</w:t>
            </w:r>
          </w:p>
        </w:tc>
        <w:tc>
          <w:tcPr>
            <w:tcW w:type="dxa" w:w="1500"/>
            <w:shd w:fill="EEF2F8" w:val="clear"/>
            <w:tcMar>
              <w:top w:type="dxa" w:w="60"/>
              <w:left w:type="dxa" w:w="100"/>
              <w:bottom w:type="dxa" w:w="60"/>
              <w:right w:type="dxa" w:w="100"/>
            </w:tcMar>
            <w:vAlign w:val="center"/>
          </w:tcPr>
          <w:p>
            <w:pPr>
              <w:jc w:val="center"/>
            </w:pPr>
            <w:r>
              <w:rPr>
                <w:b w:val="false"/>
                <w:bCs w:val="false"/>
                <w:color w:val="000000"/>
                <w:sz w:val="19"/>
                <w:szCs w:val="19"/>
              </w:rPr>
              <w:t xml:space="preserve">0.881 s</w:t>
            </w:r>
          </w:p>
        </w:tc>
      </w:tr>
      <w:tr>
        <w:tc>
          <w:tcPr>
            <w:tcW w:type="dxa" w:w="2900"/>
            <w:shd w:fill="FFFFFF" w:val="clear"/>
            <w:tcMar>
              <w:top w:type="dxa" w:w="60"/>
              <w:left w:type="dxa" w:w="100"/>
              <w:bottom w:type="dxa" w:w="60"/>
              <w:right w:type="dxa" w:w="100"/>
            </w:tcMar>
            <w:vAlign w:val="center"/>
          </w:tcPr>
          <w:p>
            <w:pPr>
              <w:jc w:val="left"/>
            </w:pPr>
            <w:r>
              <w:rPr>
                <w:b/>
                <w:bCs/>
                <w:color w:val="000000"/>
                <w:sz w:val="19"/>
                <w:szCs w:val="19"/>
              </w:rPr>
              <w:t xml:space="preserve">GAT threshold</w:t>
            </w:r>
          </w:p>
        </w:tc>
        <w:tc>
          <w:tcPr>
            <w:tcW w:type="dxa" w:w="2600"/>
            <w:shd w:fill="FFFFFF" w:val="clear"/>
            <w:tcMar>
              <w:top w:type="dxa" w:w="60"/>
              <w:left w:type="dxa" w:w="100"/>
              <w:bottom w:type="dxa" w:w="60"/>
              <w:right w:type="dxa" w:w="100"/>
            </w:tcMar>
            <w:vAlign w:val="center"/>
          </w:tcPr>
          <w:p>
            <w:pPr>
              <w:jc w:val="center"/>
            </w:pPr>
            <w:r>
              <w:rPr>
                <w:b w:val="false"/>
                <w:bCs w:val="false"/>
                <w:color w:val="000000"/>
                <w:sz w:val="19"/>
                <w:szCs w:val="19"/>
              </w:rPr>
              <w:t xml:space="preserve">0.0547 ± 0.0126</w:t>
            </w:r>
          </w:p>
        </w:tc>
        <w:tc>
          <w:tcPr>
            <w:tcW w:type="dxa" w:w="1500"/>
            <w:shd w:fill="FFFFFF" w:val="clear"/>
            <w:tcMar>
              <w:top w:type="dxa" w:w="60"/>
              <w:left w:type="dxa" w:w="100"/>
              <w:bottom w:type="dxa" w:w="60"/>
              <w:right w:type="dxa" w:w="100"/>
            </w:tcMar>
            <w:vAlign w:val="center"/>
          </w:tcPr>
          <w:p>
            <w:pPr>
              <w:jc w:val="center"/>
            </w:pPr>
            <w:r>
              <w:rPr>
                <w:b w:val="false"/>
                <w:bCs w:val="false"/>
                <w:color w:val="000000"/>
                <w:sz w:val="19"/>
                <w:szCs w:val="19"/>
              </w:rPr>
              <w:t xml:space="preserve">0.544</w:t>
            </w:r>
          </w:p>
        </w:tc>
        <w:tc>
          <w:tcPr>
            <w:tcW w:type="dxa" w:w="1500"/>
            <w:shd w:fill="FFFFFF" w:val="clear"/>
            <w:tcMar>
              <w:top w:type="dxa" w:w="60"/>
              <w:left w:type="dxa" w:w="100"/>
              <w:bottom w:type="dxa" w:w="60"/>
              <w:right w:type="dxa" w:w="100"/>
            </w:tcMar>
            <w:vAlign w:val="center"/>
          </w:tcPr>
          <w:p>
            <w:pPr>
              <w:jc w:val="center"/>
            </w:pPr>
            <w:r>
              <w:rPr>
                <w:b w:val="false"/>
                <w:bCs w:val="false"/>
                <w:color w:val="000000"/>
                <w:sz w:val="19"/>
                <w:szCs w:val="19"/>
              </w:rPr>
              <w:t xml:space="preserve">0.161 s</w:t>
            </w:r>
          </w:p>
        </w:tc>
      </w:tr>
      <w:tr>
        <w:tc>
          <w:tcPr>
            <w:tcW w:type="dxa" w:w="2900"/>
            <w:shd w:fill="EEF2F8" w:val="clear"/>
            <w:tcMar>
              <w:top w:type="dxa" w:w="60"/>
              <w:left w:type="dxa" w:w="100"/>
              <w:bottom w:type="dxa" w:w="60"/>
              <w:right w:type="dxa" w:w="100"/>
            </w:tcMar>
            <w:vAlign w:val="center"/>
          </w:tcPr>
          <w:p>
            <w:pPr>
              <w:jc w:val="left"/>
            </w:pPr>
            <w:r>
              <w:rPr>
                <w:b/>
                <w:bCs/>
                <w:color w:val="000000"/>
                <w:sz w:val="19"/>
                <w:szCs w:val="19"/>
              </w:rPr>
              <w:t xml:space="preserve">Greedy simulation-guided</w:t>
            </w:r>
          </w:p>
        </w:tc>
        <w:tc>
          <w:tcPr>
            <w:tcW w:type="dxa" w:w="2600"/>
            <w:shd w:fill="EEF2F8" w:val="clear"/>
            <w:tcMar>
              <w:top w:type="dxa" w:w="60"/>
              <w:left w:type="dxa" w:w="100"/>
              <w:bottom w:type="dxa" w:w="60"/>
              <w:right w:type="dxa" w:w="100"/>
            </w:tcMar>
            <w:vAlign w:val="center"/>
          </w:tcPr>
          <w:p>
            <w:pPr>
              <w:jc w:val="center"/>
            </w:pPr>
            <w:r>
              <w:rPr>
                <w:b w:val="false"/>
                <w:bCs w:val="false"/>
                <w:color w:val="000000"/>
                <w:sz w:val="19"/>
                <w:szCs w:val="19"/>
              </w:rPr>
              <w:t xml:space="preserve">0.0659 ± 0.0344</w:t>
            </w:r>
          </w:p>
        </w:tc>
        <w:tc>
          <w:tcPr>
            <w:tcW w:type="dxa" w:w="1500"/>
            <w:shd w:fill="EEF2F8" w:val="clear"/>
            <w:tcMar>
              <w:top w:type="dxa" w:w="60"/>
              <w:left w:type="dxa" w:w="100"/>
              <w:bottom w:type="dxa" w:w="60"/>
              <w:right w:type="dxa" w:w="100"/>
            </w:tcMar>
            <w:vAlign w:val="center"/>
          </w:tcPr>
          <w:p>
            <w:pPr>
              <w:jc w:val="center"/>
            </w:pPr>
            <w:r>
              <w:rPr>
                <w:b w:val="false"/>
                <w:bCs w:val="false"/>
                <w:color w:val="000000"/>
                <w:sz w:val="19"/>
                <w:szCs w:val="19"/>
              </w:rPr>
              <w:t xml:space="preserve">0.634</w:t>
            </w:r>
          </w:p>
        </w:tc>
        <w:tc>
          <w:tcPr>
            <w:tcW w:type="dxa" w:w="1500"/>
            <w:shd w:fill="EEF2F8" w:val="clear"/>
            <w:tcMar>
              <w:top w:type="dxa" w:w="60"/>
              <w:left w:type="dxa" w:w="100"/>
              <w:bottom w:type="dxa" w:w="60"/>
              <w:right w:type="dxa" w:w="100"/>
            </w:tcMar>
            <w:vAlign w:val="center"/>
          </w:tcPr>
          <w:p>
            <w:pPr>
              <w:jc w:val="center"/>
            </w:pPr>
            <w:r>
              <w:rPr>
                <w:b w:val="false"/>
                <w:bCs w:val="false"/>
                <w:color w:val="000000"/>
                <w:sz w:val="19"/>
                <w:szCs w:val="19"/>
              </w:rPr>
              <w:t xml:space="preserve">45.41 s</w:t>
            </w:r>
          </w:p>
        </w:tc>
      </w:tr>
      <w:tr>
        <w:tc>
          <w:tcPr>
            <w:tcW w:type="dxa" w:w="2900"/>
            <w:shd w:fill="FFFFFF" w:val="clear"/>
            <w:tcMar>
              <w:top w:type="dxa" w:w="60"/>
              <w:left w:type="dxa" w:w="100"/>
              <w:bottom w:type="dxa" w:w="60"/>
              <w:right w:type="dxa" w:w="100"/>
            </w:tcMar>
            <w:vAlign w:val="center"/>
          </w:tcPr>
          <w:p>
            <w:pPr>
              <w:jc w:val="left"/>
            </w:pPr>
            <w:r>
              <w:rPr>
                <w:b/>
                <w:bCs/>
                <w:color w:val="000000"/>
                <w:sz w:val="19"/>
                <w:szCs w:val="19"/>
              </w:rPr>
              <w:t xml:space="preserve">RL (adaptive policy)</w:t>
            </w:r>
          </w:p>
        </w:tc>
        <w:tc>
          <w:tcPr>
            <w:tcW w:type="dxa" w:w="2600"/>
            <w:shd w:fill="FFFFFF" w:val="clear"/>
            <w:tcMar>
              <w:top w:type="dxa" w:w="60"/>
              <w:left w:type="dxa" w:w="100"/>
              <w:bottom w:type="dxa" w:w="60"/>
              <w:right w:type="dxa" w:w="100"/>
            </w:tcMar>
            <w:vAlign w:val="center"/>
          </w:tcPr>
          <w:p>
            <w:pPr>
              <w:jc w:val="center"/>
            </w:pPr>
            <w:r>
              <w:rPr>
                <w:b w:val="false"/>
                <w:bCs w:val="false"/>
                <w:color w:val="000000"/>
                <w:sz w:val="19"/>
                <w:szCs w:val="19"/>
              </w:rPr>
              <w:t xml:space="preserve">0.0719 ± 0.0430</w:t>
            </w:r>
          </w:p>
        </w:tc>
        <w:tc>
          <w:tcPr>
            <w:tcW w:type="dxa" w:w="1500"/>
            <w:shd w:fill="FFFFFF" w:val="clear"/>
            <w:tcMar>
              <w:top w:type="dxa" w:w="60"/>
              <w:left w:type="dxa" w:w="100"/>
              <w:bottom w:type="dxa" w:w="60"/>
              <w:right w:type="dxa" w:w="100"/>
            </w:tcMar>
            <w:vAlign w:val="center"/>
          </w:tcPr>
          <w:p>
            <w:pPr>
              <w:jc w:val="center"/>
            </w:pPr>
            <w:r>
              <w:rPr>
                <w:b w:val="false"/>
                <w:bCs w:val="false"/>
                <w:color w:val="000000"/>
                <w:sz w:val="19"/>
                <w:szCs w:val="19"/>
              </w:rPr>
              <w:t xml:space="preserve">0.543</w:t>
            </w:r>
          </w:p>
        </w:tc>
        <w:tc>
          <w:tcPr>
            <w:tcW w:type="dxa" w:w="1500"/>
            <w:shd w:fill="FFFFFF" w:val="clear"/>
            <w:tcMar>
              <w:top w:type="dxa" w:w="60"/>
              <w:left w:type="dxa" w:w="100"/>
              <w:bottom w:type="dxa" w:w="60"/>
              <w:right w:type="dxa" w:w="100"/>
            </w:tcMar>
            <w:vAlign w:val="center"/>
          </w:tcPr>
          <w:p>
            <w:pPr>
              <w:jc w:val="center"/>
            </w:pPr>
            <w:r>
              <w:rPr>
                <w:b w:val="false"/>
                <w:bCs w:val="false"/>
                <w:color w:val="000000"/>
                <w:sz w:val="19"/>
                <w:szCs w:val="19"/>
              </w:rPr>
              <w:t xml:space="preserve">38.72 s</w:t>
            </w:r>
          </w:p>
        </w:tc>
      </w:tr>
      <w:tr>
        <w:tc>
          <w:tcPr>
            <w:tcW w:type="dxa" w:w="2900"/>
            <w:shd w:fill="EEF2F8" w:val="clear"/>
            <w:tcMar>
              <w:top w:type="dxa" w:w="60"/>
              <w:left w:type="dxa" w:w="100"/>
              <w:bottom w:type="dxa" w:w="60"/>
              <w:right w:type="dxa" w:w="100"/>
            </w:tcMar>
            <w:vAlign w:val="center"/>
          </w:tcPr>
          <w:p>
            <w:pPr>
              <w:jc w:val="left"/>
            </w:pPr>
            <w:r>
              <w:rPr>
                <w:b/>
                <w:bCs/>
                <w:color w:val="000000"/>
                <w:sz w:val="19"/>
                <w:szCs w:val="19"/>
              </w:rPr>
              <w:t xml:space="preserve">Random</w:t>
            </w:r>
          </w:p>
        </w:tc>
        <w:tc>
          <w:tcPr>
            <w:tcW w:type="dxa" w:w="2600"/>
            <w:shd w:fill="EEF2F8" w:val="clear"/>
            <w:tcMar>
              <w:top w:type="dxa" w:w="60"/>
              <w:left w:type="dxa" w:w="100"/>
              <w:bottom w:type="dxa" w:w="60"/>
              <w:right w:type="dxa" w:w="100"/>
            </w:tcMar>
            <w:vAlign w:val="center"/>
          </w:tcPr>
          <w:p>
            <w:pPr>
              <w:jc w:val="center"/>
            </w:pPr>
            <w:r>
              <w:rPr>
                <w:b w:val="false"/>
                <w:bCs w:val="false"/>
                <w:color w:val="000000"/>
                <w:sz w:val="19"/>
                <w:szCs w:val="19"/>
              </w:rPr>
              <w:t xml:space="preserve">0.1218 ± 0.0183</w:t>
            </w:r>
          </w:p>
        </w:tc>
        <w:tc>
          <w:tcPr>
            <w:tcW w:type="dxa" w:w="1500"/>
            <w:shd w:fill="EEF2F8" w:val="clear"/>
            <w:tcMar>
              <w:top w:type="dxa" w:w="60"/>
              <w:left w:type="dxa" w:w="100"/>
              <w:bottom w:type="dxa" w:w="60"/>
              <w:right w:type="dxa" w:w="100"/>
            </w:tcMar>
            <w:vAlign w:val="center"/>
          </w:tcPr>
          <w:p>
            <w:pPr>
              <w:jc w:val="center"/>
            </w:pPr>
            <w:r>
              <w:rPr>
                <w:b w:val="false"/>
                <w:bCs w:val="false"/>
                <w:color w:val="000000"/>
                <w:sz w:val="19"/>
                <w:szCs w:val="19"/>
              </w:rPr>
              <w:t xml:space="preserve">0.466</w:t>
            </w:r>
          </w:p>
        </w:tc>
        <w:tc>
          <w:tcPr>
            <w:tcW w:type="dxa" w:w="1500"/>
            <w:shd w:fill="EEF2F8" w:val="clear"/>
            <w:tcMar>
              <w:top w:type="dxa" w:w="60"/>
              <w:left w:type="dxa" w:w="100"/>
              <w:bottom w:type="dxa" w:w="60"/>
              <w:right w:type="dxa" w:w="100"/>
            </w:tcMar>
            <w:vAlign w:val="center"/>
          </w:tcPr>
          <w:p>
            <w:pPr>
              <w:jc w:val="center"/>
            </w:pPr>
            <w:r>
              <w:rPr>
                <w:b w:val="false"/>
                <w:bCs w:val="false"/>
                <w:color w:val="000000"/>
                <w:sz w:val="19"/>
                <w:szCs w:val="19"/>
              </w:rPr>
              <w:t xml:space="preserve">0.024 s</w:t>
            </w:r>
          </w:p>
        </w:tc>
      </w:tr>
    </w:tbl>
    <w:p>
      <w:pPr>
        <w:spacing w:after="240" w:before="100"/>
      </w:pPr>
      <w:r>
        <w:rPr>
          <w:i/>
          <w:iCs/>
          <w:color w:val="666666"/>
          <w:sz w:val="16"/>
          <w:szCs w:val="16"/>
        </w:rPr>
        <w:t xml:space="preserve">Containment ratio = infection remaining after pruning, relative to no pruning (lower is better). n = 40 graphs per method.</w:t>
      </w:r>
    </w:p>
    <w:p>
      <w:pPr>
        <w:spacing w:after="160"/>
      </w:pPr>
      <w:r>
        <w:rPr>
          <w:b/>
          <w:bCs/>
          <w:sz w:val="22"/>
          <w:szCs w:val="22"/>
        </w:rPr>
        <w:t xml:space="preserve">Degree-centrality wins on containment, and wins on cost by a wide margin.</w:t>
      </w:r>
      <w:r>
        <w:rPr>
          <w:sz w:val="22"/>
          <w:szCs w:val="22"/>
        </w:rPr>
        <w:t xml:space="preserve"> It achieves the best (or statistically tied-best) containment of any of the nine methods, at a mean cost of about 0.01 seconds per graph. RL — the most expensive method tested — needs roughly </w:t>
      </w:r>
      <w:r>
        <w:rPr>
          <w:b/>
          <w:bCs/>
          <w:sz w:val="22"/>
          <w:szCs w:val="22"/>
        </w:rPr>
        <w:t xml:space="preserve">3,600× more compute per graph</w:t>
      </w:r>
      <w:r>
        <w:rPr>
          <w:sz w:val="22"/>
          <w:szCs w:val="22"/>
        </w:rPr>
        <w:t xml:space="preserve">, yet contains </w:t>
      </w:r>
      <w:r>
        <w:rPr>
          <w:b/>
          <w:bCs/>
          <w:sz w:val="22"/>
          <w:szCs w:val="22"/>
        </w:rPr>
        <w:t xml:space="preserve">less than half as well</w:t>
      </w:r>
      <w:r>
        <w:rPr>
          <w:sz w:val="22"/>
          <w:szCs w:val="22"/>
        </w:rPr>
        <w:t xml:space="preserve">, and loses to degree-centrality with high statistical confidence (Holm-corrected p ≈ 1.3×10⁻⁵).</w:t>
      </w:r>
    </w:p>
    <w:p>
      <w:pPr>
        <w:spacing w:after="160"/>
      </w:pPr>
      <w:r>
        <w:rPr>
          <w:sz w:val="22"/>
          <w:szCs w:val="22"/>
        </w:rPr>
        <w:t xml:space="preserve">This is not specific to RL vs. degree-centrality: </w:t>
      </w:r>
      <w:r>
        <w:rPr>
          <w:b/>
          <w:bCs/>
          <w:sz w:val="22"/>
          <w:szCs w:val="22"/>
        </w:rPr>
        <w:t xml:space="preserve">RL loses significantly to every structural baseline tested</w:t>
      </w:r>
      <w:r>
        <w:rPr>
          <w:sz w:val="22"/>
          <w:szCs w:val="22"/>
        </w:rPr>
        <w:t xml:space="preserve">, including eigenscore — the spectral method the epidemic-containment literature already treats as the principled, "correct" approach. Eigenscore itself only ties degree-centrality; it does not beat it either.</w:t>
      </w:r>
    </w:p>
    <w:p>
      <w:pPr>
        <w:spacing w:after="160"/>
      </w:pPr>
      <w:r>
        <w:rPr>
          <w:b/>
          <w:bCs/>
          <w:sz w:val="22"/>
          <w:szCs w:val="22"/>
        </w:rPr>
        <w:t xml:space="preserve">There is no single winner — it is a genuine trade-off (Pareto frontier), not a ranking.</w:t>
      </w:r>
      <w:r>
        <w:rPr>
          <w:sz w:val="22"/>
          <w:szCs w:val="22"/>
        </w:rPr>
        <w:t xml:space="preserve"> Degree-centrality dominates on containment and cost. A different method, the greedy simulation-guided heuristic, wins on utility (keeps the underlying classifier working best) but costs roughly 4,200× more than degree-centrality. GAT and RL sit inside this trade-off, not on the leading edge of it in either dimension.</w:t>
      </w:r>
    </w:p>
    <w:p>
      <w:pPr>
        <w:spacing w:after="160"/>
      </w:pPr>
      <w:r>
        <w:rPr>
          <w:b/>
          <w:bCs/>
          <w:sz w:val="22"/>
          <w:szCs w:val="22"/>
        </w:rPr>
        <w:t xml:space="preserve">Robustness checks (ablations and stress tests, 15–40 graphs each) back this up:</w:t>
      </w:r>
      <w:r>
        <w:rPr>
          <w:sz w:val="22"/>
          <w:szCs w:val="22"/>
        </w:rPr>
        <w:t xml:space="preserve"> the finding holds under noisy or missing node features; it is honestly reported as conditional on the specific GAT architecture tested (a caveat we state rather than hide); and a dedicated diagnostic rules out "the search heuristic just needs a less noisy signal" as an excuse for its underperformance.</w:t>
      </w:r>
    </w:p>
    <w:p>
      <w:pPr>
        <w:spacing w:after="120" w:before="260"/>
      </w:pPr>
      <w:r>
        <w:rPr>
          <w:b/>
          <w:bCs/>
          <w:color w:val="1A4D8F"/>
          <w:sz w:val="26"/>
          <w:szCs w:val="26"/>
        </w:rPr>
        <w:t xml:space="preserve">4. What This Means</w:t>
      </w:r>
    </w:p>
    <w:p>
      <w:pPr>
        <w:spacing w:after="160"/>
      </w:pPr>
      <w:r>
        <w:rPr>
          <w:sz w:val="22"/>
          <w:szCs w:val="22"/>
        </w:rPr>
        <w:t xml:space="preserve">The result is a genuine, statistically well-supported </w:t>
      </w:r>
      <w:r>
        <w:rPr>
          <w:b/>
          <w:bCs/>
          <w:sz w:val="22"/>
          <w:szCs w:val="22"/>
        </w:rPr>
        <w:t xml:space="preserve">mixed-to-negative finding for the learned approach on this graph family</w:t>
      </w:r>
      <w:r>
        <w:rPr>
          <w:sz w:val="22"/>
          <w:szCs w:val="22"/>
        </w:rPr>
        <w:t xml:space="preserve">: added sophistication (GAT attention + RL) does not currently earn its computational cost over a one-line structural rule. This is not a failure of the project — it is exactly the kind of rigorous, honestly-reported benchmark answer this area of security research currently lacks. Most prior work assumes learned pruning helps without testing it against the cheap alternative; this project tested it directly, with proper statistics, and reports what it found rather than what would look better.</w:t>
      </w:r>
    </w:p>
    <w:p>
      <w:pPr>
        <w:spacing w:after="120" w:before="260"/>
      </w:pPr>
      <w:r>
        <w:rPr>
          <w:b/>
          <w:bCs/>
          <w:color w:val="1A4D8F"/>
          <w:sz w:val="26"/>
          <w:szCs w:val="26"/>
        </w:rPr>
        <w:t xml:space="preserve">5. Is This Ready for the Paper-Writing Stage?</w:t>
      </w:r>
    </w:p>
    <w:p>
      <w:pPr>
        <w:spacing w:after="160"/>
      </w:pPr>
      <w:r>
        <w:rPr>
          <w:b/>
          <w:bCs/>
          <w:sz w:val="22"/>
          <w:szCs w:val="22"/>
        </w:rPr>
        <w:t xml:space="preserve">Yes.</w:t>
      </w:r>
      <w:r>
        <w:rPr>
          <w:sz w:val="22"/>
          <w:szCs w:val="22"/>
        </w:rPr>
        <w:t xml:space="preserve"> All four planned milestones are complete: (1) the feature-driven botnet simulator and realistic graph generator, (2) GAT training and attention-based static pruning, (3) the RL adaptive policy with explainability hooks, and (4) the full nine-method baseline suite with a 40-graph statistical evaluation harness, ablations, and stress tests. Results are backed by pre-registered, multiple-comparison-corrected significance tests, absolute effect sizes, and compute-cost reporting alongside every comparison — not just p-values.</w:t>
      </w:r>
    </w:p>
    <w:p>
      <w:pPr>
        <w:spacing w:after="160"/>
      </w:pPr>
      <w:r>
        <w:rPr>
          <w:sz w:val="22"/>
          <w:szCs w:val="22"/>
        </w:rPr>
        <w:t xml:space="preserve">A full paper draft already exists in LaTeX/BibTeX format (the shape it would be submitted in), with all standard sections — Abstract, Introduction, Related Work, Methods (including algorithm pseudocode for the two custom procedures), Results, Discussion, Limitations, Conclusion, and a verified References section — and has already been through multiple rounds of review and revision with an external mentor. In short: this project is not merely "ready to start writing" — a near-final, submission-shaped draft already exists and is being actively refined.</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2026-09-02T04:49:46.861Z</dcterms:created>
  <dcterms:modified xsi:type="dcterms:W3CDTF">2026-09-02T04:49:46.867Z</dcterms:modified>
</cp:coreProperties>
</file>

<file path=docProps/custom.xml><?xml version="1.0" encoding="utf-8"?>
<Properties xmlns="http://schemas.openxmlformats.org/officeDocument/2006/custom-properties" xmlns:vt="http://schemas.openxmlformats.org/officeDocument/2006/docPropsVTypes"/>
</file>