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Results Summary: Does Learned Pruning Beat Simple Heuristics?</w:t>
      </w:r>
    </w:p>
    <w:p>
      <w:pPr>
        <w:spacing w:after="120"/>
      </w:pPr>
      <w:r>
        <w:rPr>
          <w:color w:val="444444"/>
          <w:sz w:val="15"/>
          <w:szCs w:val="15"/>
        </w:rPr>
        <w:t xml:space="preserve">GAT + RL edge-pruning for botnet containment in Social IoT graphs, benchmarked against a full structural-baseline suite. All numbers are means over 40 independent scale-free graph instances (Barabasi-Albert), with a feature-driven infection model so pruning risky edges measurably changes outcomes.</w:t>
      </w:r>
    </w:p>
    <w:p>
      <w:pPr>
        <w:spacing w:after="40"/>
      </w:pPr>
      <w:r>
        <w:rPr>
          <w:b/>
          <w:bCs/>
          <w:color w:val="1A4D8F"/>
          <w:sz w:val="20"/>
          <w:szCs w:val="20"/>
        </w:rPr>
        <w:t xml:space="preserve">Headline finding</w:t>
      </w:r>
    </w:p>
    <w:p>
      <w:pPr>
        <w:spacing w:after="140"/>
      </w:pPr>
      <w:r>
        <w:rPr>
          <w:b/>
          <w:bCs/>
          <w:sz w:val="17"/>
          <w:szCs w:val="17"/>
        </w:rPr>
        <w:t xml:space="preserve">Simple degree-centrality pruning ties or beats the learned GAT+RL pipeline on containment, at a fraction of the cost. </w:t>
      </w:r>
      <w:r>
        <w:rPr>
          <w:sz w:val="17"/>
          <w:szCs w:val="17"/>
        </w:rPr>
        <w:t xml:space="preserve">RL loses significantly (Holm-corrected p&lt;0.05) to every structural baseline tested -- including the spectral/eigenvalue method (eigenscore) the epidemic-containment literature treats as its principled standard. There is no single winner: it is a genuine containment-vs-utility trade-off (Pareto frontier), not a ranking with one method on top.</w:t>
      </w:r>
    </w:p>
    <w:p>
      <w:pPr>
        <w:spacing w:after="60"/>
      </w:pPr>
      <w:r>
        <w:rPr>
          <w:b/>
          <w:bCs/>
          <w:color w:val="1A4D8F"/>
          <w:sz w:val="20"/>
          <w:szCs w:val="20"/>
        </w:rPr>
        <w:t xml:space="preserve">All nine methods compared (n = 40 graphs each)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1600"/>
        <w:gridCol w:w="1700"/>
      </w:tblGrid>
      <w:tr>
        <w:tc>
          <w:tcPr>
            <w:tcW w:type="dxa" w:w="2600"/>
            <w:shd w:fill="1A4D8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Method</w:t>
            </w:r>
          </w:p>
        </w:tc>
        <w:tc>
          <w:tcPr>
            <w:tcW w:type="dxa" w:w="2500"/>
            <w:shd w:fill="1A4D8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Containment ratio (mean +/- std)</w:t>
            </w:r>
          </w:p>
        </w:tc>
        <w:tc>
          <w:tcPr>
            <w:tcW w:type="dxa" w:w="1600"/>
            <w:shd w:fill="1A4D8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Utility (frozen F1)</w:t>
            </w:r>
          </w:p>
        </w:tc>
        <w:tc>
          <w:tcPr>
            <w:tcW w:type="dxa" w:w="1700"/>
            <w:shd w:fill="1A4D8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Compute cost/graph</w:t>
            </w:r>
          </w:p>
        </w:tc>
      </w:tr>
      <w:tr>
        <w:tc>
          <w:tcPr>
            <w:tcW w:type="dxa" w:w="2600"/>
            <w:shd w:fill="DCEE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Degree-centrality</w:t>
            </w:r>
          </w:p>
        </w:tc>
        <w:tc>
          <w:tcPr>
            <w:tcW w:type="dxa" w:w="2500"/>
            <w:shd w:fill="DCEE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0.0331 +/- 0.0061</w:t>
            </w:r>
          </w:p>
        </w:tc>
        <w:tc>
          <w:tcPr>
            <w:tcW w:type="dxa" w:w="1600"/>
            <w:shd w:fill="DCEE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0.562</w:t>
            </w:r>
          </w:p>
        </w:tc>
        <w:tc>
          <w:tcPr>
            <w:tcW w:type="dxa" w:w="1700"/>
            <w:shd w:fill="DCEE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0.0108 s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Eigenscore (spectral)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0.0332 +/- 0.0064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0.458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0.034 s</w:t>
            </w:r>
          </w:p>
        </w:tc>
      </w:tr>
      <w:tr>
        <w:tc>
          <w:tcPr>
            <w:tcW w:type="dxa" w:w="26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Betweenness-centrality</w:t>
            </w:r>
          </w:p>
        </w:tc>
        <w:tc>
          <w:tcPr>
            <w:tcW w:type="dxa" w:w="25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0.0361 +/- 0.0058</w:t>
            </w:r>
          </w:p>
        </w:tc>
        <w:tc>
          <w:tcPr>
            <w:tcW w:type="dxa" w:w="16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0.455</w:t>
            </w:r>
          </w:p>
        </w:tc>
        <w:tc>
          <w:tcPr>
            <w:tcW w:type="dxa" w:w="17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0.611 s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Highest-p_uv (direct risk)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0.0365 +/- 0.0050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0.423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0.008 s</w:t>
            </w:r>
          </w:p>
        </w:tc>
      </w:tr>
      <w:tr>
        <w:tc>
          <w:tcPr>
            <w:tcW w:type="dxa" w:w="26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GAT top-k</w:t>
            </w:r>
          </w:p>
        </w:tc>
        <w:tc>
          <w:tcPr>
            <w:tcW w:type="dxa" w:w="25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0.0372 +/- 0.0060</w:t>
            </w:r>
          </w:p>
        </w:tc>
        <w:tc>
          <w:tcPr>
            <w:tcW w:type="dxa" w:w="16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0.532</w:t>
            </w:r>
          </w:p>
        </w:tc>
        <w:tc>
          <w:tcPr>
            <w:tcW w:type="dxa" w:w="17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0.881 s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GAT threshold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0.0547 +/- 0.0126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0.544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0.161 s</w:t>
            </w:r>
          </w:p>
        </w:tc>
      </w:tr>
      <w:tr>
        <w:tc>
          <w:tcPr>
            <w:tcW w:type="dxa" w:w="26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Greedy simulation-guided</w:t>
            </w:r>
          </w:p>
        </w:tc>
        <w:tc>
          <w:tcPr>
            <w:tcW w:type="dxa" w:w="25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0.0659 +/- 0.0344</w:t>
            </w:r>
          </w:p>
        </w:tc>
        <w:tc>
          <w:tcPr>
            <w:tcW w:type="dxa" w:w="16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0.634</w:t>
            </w:r>
          </w:p>
        </w:tc>
        <w:tc>
          <w:tcPr>
            <w:tcW w:type="dxa" w:w="17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45.41 s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RL (adaptive policy)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0.0719 +/- 0.0430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0.543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38.72 s</w:t>
            </w:r>
          </w:p>
        </w:tc>
      </w:tr>
      <w:tr>
        <w:tc>
          <w:tcPr>
            <w:tcW w:type="dxa" w:w="26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Random</w:t>
            </w:r>
          </w:p>
        </w:tc>
        <w:tc>
          <w:tcPr>
            <w:tcW w:type="dxa" w:w="25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0.1218 +/- 0.0183</w:t>
            </w:r>
          </w:p>
        </w:tc>
        <w:tc>
          <w:tcPr>
            <w:tcW w:type="dxa" w:w="16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0.466</w:t>
            </w:r>
          </w:p>
        </w:tc>
        <w:tc>
          <w:tcPr>
            <w:tcW w:type="dxa" w:w="1700"/>
            <w:shd w:fill="EEF2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0.024 s</w:t>
            </w:r>
          </w:p>
        </w:tc>
      </w:tr>
    </w:tbl>
    <w:p>
      <w:pPr>
        <w:spacing w:after="160" w:before="60"/>
      </w:pPr>
      <w:r>
        <w:rPr>
          <w:i/>
          <w:iCs/>
          <w:color w:val="555555"/>
          <w:sz w:val="13"/>
          <w:szCs w:val="13"/>
        </w:rPr>
        <w:t xml:space="preserve">Sorted by containment ratio (lower = better, fewer nodes end up compromised). Green row = best containment. 14 pre-registered paired comparisons, Holm-Bonferroni corrected.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00"/>
      </w:tblGrid>
      <w:tr>
        <w:tc>
          <w:tcPr>
            <w:tcW w:type="dxa" w:w="4800"/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r>
              <w:drawing>
                <wp:inline distT="0" distB="0" distL="0" distR="0">
                  <wp:extent cx="285750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00"/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4D8F"/>
                <w:sz w:val="19"/>
                <w:szCs w:val="19"/>
              </w:rPr>
              <w:t xml:space="preserve">Key takeaways</w:t>
            </w:r>
          </w:p>
          <w:p>
            <w:pPr>
              <w:spacing w:after="60"/>
              <w:ind w:left="120" w:hanging="120"/>
            </w:pPr>
            <w:r>
              <w:rPr>
                <w:sz w:val="15"/>
                <w:szCs w:val="15"/>
              </w:rPr>
              <w:t xml:space="preserve">•  </w:t>
            </w:r>
            <w:r>
              <w:rPr>
                <w:b/>
                <w:bCs/>
                <w:sz w:val="15"/>
                <w:szCs w:val="15"/>
              </w:rPr>
              <w:t xml:space="preserve">Degree-centrality</w:t>
            </w:r>
            <w:r>
              <w:rPr>
                <w:sz w:val="15"/>
                <w:szCs w:val="15"/>
              </w:rPr>
              <w:t xml:space="preserve"> wins on containment AND cost (about 3,600x cheaper than RL).</w:t>
            </w:r>
          </w:p>
          <w:p>
            <w:pPr>
              <w:spacing w:after="60"/>
              <w:ind w:left="120" w:hanging="120"/>
            </w:pPr>
            <w:r>
              <w:rPr>
                <w:sz w:val="15"/>
                <w:szCs w:val="15"/>
              </w:rPr>
              <w:t xml:space="preserve">•  </w:t>
            </w:r>
            <w:r>
              <w:rPr>
                <w:b/>
                <w:bCs/>
                <w:sz w:val="15"/>
                <w:szCs w:val="15"/>
              </w:rPr>
              <w:t xml:space="preserve">Greedy simulation-guided heuristic</w:t>
            </w:r>
            <w:r>
              <w:rPr>
                <w:sz w:val="15"/>
                <w:szCs w:val="15"/>
              </w:rPr>
              <w:t xml:space="preserve"> wins on utility (frozen F1 0.634) but costs about 4,200x more than degree.</w:t>
            </w:r>
          </w:p>
          <w:p>
            <w:pPr>
              <w:spacing w:after="60"/>
              <w:ind w:left="120" w:hanging="120"/>
            </w:pPr>
            <w:r>
              <w:rPr>
                <w:sz w:val="15"/>
                <w:szCs w:val="15"/>
              </w:rPr>
              <w:t xml:space="preserve">•  </w:t>
            </w:r>
            <w:r>
              <w:rPr>
                <w:b/>
                <w:bCs/>
                <w:sz w:val="15"/>
                <w:szCs w:val="15"/>
              </w:rPr>
              <w:t xml:space="preserve">Eigenscore</w:t>
            </w:r>
            <w:r>
              <w:rPr>
                <w:sz w:val="15"/>
                <w:szCs w:val="15"/>
              </w:rPr>
              <w:t xml:space="preserve"> (the field's spectral "gold standard") only ties degree -- doesn't beat it.</w:t>
            </w:r>
          </w:p>
          <w:p>
            <w:pPr>
              <w:spacing w:after="60"/>
              <w:ind w:left="120" w:hanging="120"/>
            </w:pPr>
            <w:r>
              <w:rPr>
                <w:sz w:val="15"/>
                <w:szCs w:val="15"/>
              </w:rPr>
              <w:t xml:space="preserve">•  </w:t>
            </w:r>
            <w:r>
              <w:rPr>
                <w:b/>
                <w:bCs/>
                <w:sz w:val="15"/>
                <w:szCs w:val="15"/>
              </w:rPr>
              <w:t xml:space="preserve">RL</w:t>
            </w:r>
            <w:r>
              <w:rPr>
                <w:sz w:val="15"/>
                <w:szCs w:val="15"/>
              </w:rPr>
              <w:t xml:space="preserve"> beats only random pruning; ties the greedy heuristic; loses to every structural method.</w:t>
            </w:r>
          </w:p>
          <w:p>
            <w:pPr>
              <w:spacing w:after="60"/>
              <w:ind w:left="120" w:hanging="120"/>
            </w:pPr>
            <w:r>
              <w:rPr>
                <w:sz w:val="15"/>
                <w:szCs w:val="15"/>
              </w:rPr>
              <w:t xml:space="preserve">•  </w:t>
            </w:r>
            <w:r>
              <w:rPr>
                <w:sz w:val="15"/>
                <w:szCs w:val="15"/>
              </w:rPr>
              <w:t xml:space="preserve">A myopia diagnostic (n=10 graphs) confirms the greedy heuristic's shortfall is structural (one-step-at-a-time), not a noisy search signal -- 5x more search accuracy made results worse, not better.</w:t>
            </w:r>
          </w:p>
          <w:p>
            <w:pPr>
              <w:spacing w:after="60"/>
              <w:ind w:left="120" w:hanging="120"/>
            </w:pPr>
            <w:r>
              <w:rPr>
                <w:sz w:val="15"/>
                <w:szCs w:val="15"/>
              </w:rPr>
              <w:t xml:space="preserve">•  </w:t>
            </w:r>
            <w:r>
              <w:rPr>
                <w:sz w:val="15"/>
                <w:szCs w:val="15"/>
              </w:rPr>
              <w:t xml:space="preserve">GAT+RL's containment result is architecture-conditional (only holds at heads=4, depth=2) but robust to feature noise/missingness.</w:t>
            </w:r>
          </w:p>
        </w:tc>
      </w:tr>
    </w:tbl>
    <w:p>
      <w:pPr>
        <w:spacing w:before="140"/>
      </w:pPr>
      <w:r>
        <w:rPr>
          <w:i/>
          <w:iCs/>
          <w:color w:val="666666"/>
          <w:sz w:val="12"/>
          <w:szCs w:val="12"/>
        </w:rPr>
        <w:t xml:space="preserve">Full numbers, statistical tests, ablations, and every caveat: NOTES.md and harness_summary.csv / harness_paired_tests.csv in the project repository.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e2c3f65b046303d90bd92b32ea4a9f474f23f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2026-09-02T01:42:42.865Z</dcterms:created>
  <dcterms:modified xsi:type="dcterms:W3CDTF">2026-09-02T01:42:42.866Z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