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Handling and Retention Standard</w:t>
      </w:r>
    </w:p>
    <w:p>
      <w:r>
        <w:t xml:space="preserve">Version 4.2 — approved by the Data Protection Board, March 2026.</w:t>
      </w:r>
    </w:p>
    <w:p>
      <w:pPr>
        <w:pStyle w:val="Heading2"/>
      </w:pPr>
      <w:r>
        <w:t xml:space="preserve">1. Purpose</w:t>
      </w:r>
    </w:p>
    <w:p>
      <w:r>
        <w:t xml:space="preserve">1.1 This standard defines how customer and transaction data is classified, stored and destroyed.</w:t>
      </w:r>
    </w:p>
    <w:p>
      <w:r>
        <w:t xml:space="preserve">1.2 It applies to every system that processes customer data, including third-party processors.</w:t>
      </w:r>
    </w:p>
    <w:p>
      <w:pPr>
        <w:pStyle w:val="Heading2"/>
      </w:pPr>
      <w:r>
        <w:t xml:space="preserve">2. Classification</w:t>
      </w:r>
    </w:p>
    <w:p>
      <w:r>
        <w:t xml:space="preserve">2.1 Every data store must declare a data class before it goes live.</w:t>
      </w:r>
    </w:p>
    <w:p>
      <w:r>
        <w:t xml:space="preserve">2.2 An undeclared store is treated as containing Customer PII until proven otherwise.</w:t>
      </w:r>
    </w:p>
    <w:p>
      <w:pPr>
        <w:pStyle w:val="Heading2"/>
      </w:pPr>
      <w:r>
        <w:t xml:space="preserve">3. Retention</w:t>
      </w:r>
    </w:p>
    <w:p>
      <w:r>
        <w:t xml:space="preserve">3.1 Retention periods are fixed by the table below and may not be shortened by a project.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8E8E8" w:val="clear"/>
          </w:tcPr>
          <w:p>
            <w:r>
              <w:t xml:space="preserve">Data class</w:t>
            </w:r>
          </w:p>
        </w:tc>
        <w:tc>
          <w:tcPr>
            <w:tcW w:type="dxa" w:w="3000"/>
            <w:shd w:fill="E8E8E8" w:val="clear"/>
          </w:tcPr>
          <w:p>
            <w:r>
              <w:t xml:space="preserve">Retention</w:t>
            </w:r>
          </w:p>
        </w:tc>
        <w:tc>
          <w:tcPr>
            <w:tcW w:type="dxa" w:w="3000"/>
            <w:shd w:fill="E8E8E8" w:val="clear"/>
          </w:tcPr>
          <w:p>
            <w:r>
              <w:t xml:space="preserve">Owner</w:t>
            </w:r>
          </w:p>
        </w:tc>
      </w:tr>
      <w:tr>
        <w:tc>
          <w:tcPr>
            <w:tcW w:type="dxa" w:w="3000"/>
          </w:tcPr>
          <w:p>
            <w:r>
              <w:t xml:space="preserve">Payment instruction</w:t>
            </w:r>
          </w:p>
        </w:tc>
        <w:tc>
          <w:tcPr>
            <w:tcW w:type="dxa" w:w="3000"/>
          </w:tcPr>
          <w:p>
            <w:r>
              <w:t xml:space="preserve">10 years</w:t>
            </w:r>
          </w:p>
        </w:tc>
        <w:tc>
          <w:tcPr>
            <w:tcW w:type="dxa" w:w="3000"/>
          </w:tcPr>
          <w:p>
            <w:r>
              <w:t xml:space="preserve">Payments Ops</w:t>
            </w:r>
          </w:p>
        </w:tc>
      </w:tr>
      <w:tr>
        <w:tc>
          <w:tcPr>
            <w:tcW w:type="dxa" w:w="3000"/>
          </w:tcPr>
          <w:p>
            <w:r>
              <w:t xml:space="preserve">Access log</w:t>
            </w:r>
          </w:p>
        </w:tc>
        <w:tc>
          <w:tcPr>
            <w:tcW w:type="dxa" w:w="3000"/>
          </w:tcPr>
          <w:p>
            <w:r>
              <w:t xml:space="preserve">18 months</w:t>
            </w:r>
          </w:p>
        </w:tc>
        <w:tc>
          <w:tcPr>
            <w:tcW w:type="dxa" w:w="3000"/>
          </w:tcPr>
          <w:p>
            <w:r>
              <w:t xml:space="preserve">Security</w:t>
            </w:r>
          </w:p>
        </w:tc>
      </w:tr>
      <w:tr>
        <w:tc>
          <w:tcPr>
            <w:tcW w:type="dxa" w:w="3000"/>
          </w:tcPr>
          <w:p>
            <w:r>
              <w:t xml:space="preserve">Customer PII</w:t>
            </w:r>
          </w:p>
        </w:tc>
        <w:tc>
          <w:tcPr>
            <w:tcW w:type="dxa" w:w="3000"/>
          </w:tcPr>
          <w:p>
            <w:r>
              <w:t xml:space="preserve">7 years after closure</w:t>
            </w:r>
          </w:p>
        </w:tc>
        <w:tc>
          <w:tcPr>
            <w:tcW w:type="dxa" w:w="3000"/>
          </w:tcPr>
          <w:p>
            <w:r>
              <w:t xml:space="preserve">Data Protection</w:t>
            </w:r>
          </w:p>
        </w:tc>
      </w:tr>
    </w:tbl>
    <w:p>
      <w:r>
        <w:t xml:space="preserve">3.2 Data held beyond its retention period is a reportable control failure.</w:t>
      </w:r>
    </w:p>
    <w:p>
      <w:pPr>
        <w:pStyle w:val="Heading2"/>
      </w:pPr>
      <w:r>
        <w:t xml:space="preserve">4. Destruction</w:t>
      </w:r>
    </w:p>
    <w:p>
      <w:pPr>
        <w:pStyle w:val="Heading3"/>
      </w:pPr>
      <w:r>
        <w:t xml:space="preserve">4.1 Method</w:t>
      </w:r>
    </w:p>
    <w:p>
      <w:r>
        <w:t xml:space="preserve">4.1.1 Deletion must be irreversible; a soft-delete flag does not satisfy this standard.</w:t>
      </w:r>
    </w:p>
    <w:p>
      <w:r>
        <w:t xml:space="preserve">4.1.2 Backups containing expired data must be rotated out within one backup cycle.</w:t>
      </w:r>
    </w:p>
    <w:p>
      <w:pPr>
        <w:pStyle w:val="Heading3"/>
      </w:pPr>
      <w:r>
        <w:t xml:space="preserve">4.2 Evidence</w:t>
      </w:r>
    </w:p>
    <w:p>
      <w:r>
        <w:t xml:space="preserve">4.2.1 Every destruction run produces an auditable record naming the system, class and record count.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2026-07-26T12:37:35.235Z</dcterms:created>
  <dcterms:modified xsi:type="dcterms:W3CDTF">2026-07-26T12:37:35.236Z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