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AA3366"/>
          <w:sz w:val="36"/>
          <w:szCs w:val="36"/>
        </w:rPr>
        <w:t xml:space="preserve">Image Ambiguity Prediction Using Caption Diversity &amp; Computer Vision</w:t>
      </w:r>
    </w:p>
    <w:p>
      <w:pPr>
        <w:spacing w:after="300"/>
      </w:pPr>
      <w:r>
        <w:rPr>
          <w:color w:val="555555"/>
          <w:sz w:val="26"/>
          <w:szCs w:val="26"/>
        </w:rPr>
        <w:t xml:space="preserve">3-Month (12-Week) Detailed, Day-by-Day Execution Plan</w:t>
      </w:r>
    </w:p>
    <w:p>
      <w:pPr>
        <w:pStyle w:val="Heading1"/>
        <w:spacing w:after="160" w:before="400"/>
      </w:pPr>
      <w:r>
        <w:t xml:space="preserve">Overview &amp; Scope</w:t>
      </w:r>
    </w:p>
    <w:p>
      <w:pPr>
        <w:spacing w:after="160"/>
      </w:pPr>
      <w:r>
        <w:t xml:space="preserve">This project has an important structural advantage over a typical CV research plan: the ambiguity labels come from an automatic pipeline (Sentence-BERT applied to COCO's existing captions) rather than manual annotation of every image. Manual effort is needed only for the 500-image human validation subset, not the full dataset — a real time-saver that leaves more room for the full deep-learning model comparison. The scope decisions below reflect that: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Dataset: ~2,500–3,000 COCO images (down from the original 5,000–10,000) to keep four-architecture deep-learning training feasible within 12 weeks — the labeling pipeline itself scales easily, but training compute is the real constraint.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Deep learning models: ResNet50 and ViT-Base are the mandatory primary pair, directly testing the CNN-vs-Transformer hypothesis. EfficientNet-B0 and Swin-Tiny are explicit stretch goals in Week 8 if time allows.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Human validation: scoped to 500 images with 2–3 volunteers, exactly as specified, since this step is what makes the automatic labeling method itself credible.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Cross-dataset generalization: tested using a small Flickr30k subset (which also provides five captions per image), so the identical labeling pipeline can be reapplied without modification.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Each week below lists specific day-ranges with concrete tasks. Because labeling itself is largely automatic, the schedule front-loads more experimentation time in Weeks 7–10 than a comparable manually-annotated project would have.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1 (Weeks 1–2): Literature review, scope lock, dataset collection, and caption processing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2 (Weeks 3–4): Ambiguity score finalization and human validation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3 (Weeks 5–6): Feature extraction and baseline models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4 (Weeks 7–8): Deep learning models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5 (Weeks 9–10): Explainability and experiments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6 (Weeks 11–12): Paper writing and submission prep</w:t>
      </w:r>
    </w:p>
    <w:p>
      <w:pPr>
        <w:pStyle w:val="Heading1"/>
        <w:spacing w:after="160" w:before="400"/>
      </w:pPr>
      <w:r>
        <w:t xml:space="preserve">Phase 1 — Literature Review, Scope Lock &amp; Caption Processing (Weeks 1–2)</w:t>
      </w:r>
    </w:p>
    <w:p>
      <w:pPr>
        <w:spacing w:after="80" w:before="200"/>
      </w:pPr>
      <w:r>
        <w:rPr>
          <w:b/>
          <w:bCs/>
          <w:color w:val="70223F"/>
          <w:sz w:val="22"/>
          <w:szCs w:val="22"/>
        </w:rPr>
        <w:t xml:space="preserve">Week 1: Literature Review &amp; Scope Lock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480"/>
      </w:tblGrid>
      <w:tr>
        <w:trPr>
          <w:tblHeader/>
        </w:trPr>
        <w:tc>
          <w:tcPr>
            <w:tcW w:type="dxa" w:w="1600"/>
            <w:shd w:fill="AA33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Day(s)</w:t>
            </w:r>
          </w:p>
        </w:tc>
        <w:tc>
          <w:tcPr>
            <w:tcW w:type="dxa" w:w="8480"/>
            <w:shd w:fill="AA33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 — Exactly What To Do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Day 1</w:t>
            </w:r>
          </w:p>
        </w:tc>
        <w:tc>
          <w:tcPr>
            <w:tcW w:type="dxa" w:w="8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Search and collect papers on image ambiguity/difficulty quantification, caption-diversity or paraphrase-diversity metrics, and Sentence-BERT and sentence-embedding methods.</w:t>
            </w:r>
          </w:p>
        </w:tc>
      </w:tr>
      <w:tr>
        <w:tc>
          <w:tcPr>
            <w:tcW w:type="dxa" w:w="1600"/>
            <w:shd w:fill="F7E9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Day 2</w:t>
            </w:r>
          </w:p>
        </w:tc>
        <w:tc>
          <w:tcPr>
            <w:tcW w:type="dxa" w:w="8480"/>
            <w:shd w:fill="F7E9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Collect papers on CNN-vs-Vision-Transformer comparisons, Grad-CAM/attention visualization, and the original COCO captioning dataset paper. Build a literature tracking spreadsheet (title, year, method, dataset, key finding, relevance) — target 20–25 papers.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Day 3</w:t>
            </w:r>
          </w:p>
        </w:tc>
        <w:tc>
          <w:tcPr>
            <w:tcW w:type="dxa" w:w="8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Write up the Research Gap explicitly: most image classification research focuses on object categories, little work quantifies how ambiguous an image is to humans, and existing approaches typically require subjective manual annotation. Draft explicit hypotheses: H1 — caption-diversity-derived ambiguity labels are meaningful, as validated against human judgment; H2 — Vision Transformers outperform CNNs on ambiguity classification; H3 — combining handcrafted and deep features captures complementary signal.</w:t>
            </w:r>
          </w:p>
        </w:tc>
      </w:tr>
      <w:tr>
        <w:tc>
          <w:tcPr>
            <w:tcW w:type="dxa" w:w="1600"/>
            <w:shd w:fill="F7E9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Day 4</w:t>
            </w:r>
          </w:p>
        </w:tc>
        <w:tc>
          <w:tcPr>
            <w:tcW w:type="dxa" w:w="8480"/>
            <w:shd w:fill="F7E9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Finalize scope: a dataset target of ~2,500–3,000 COCO images (down from the original 5,000–10,000), baseline models (Random Forest, XGBoost, LightGBM), a primary deep-learning pair (ResNet50, ViT-Base) with EfficientNet-B0 and Swin-Tiny as stretch goals, and a cross-dataset generalization check using a small Flickr30k subset.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Day 5</w:t>
            </w:r>
          </w:p>
        </w:tc>
        <w:tc>
          <w:tcPr>
            <w:tcW w:type="dxa" w:w="8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 up the Python environment (PyTorch, HuggingFace Transformers, Sentence-Transformers, OpenCV, scikit-learn, XGBoost, LightGBM) and the repository structure. Write the skeleton script for downloading COCO images and their captions.</w:t>
            </w:r>
          </w:p>
        </w:tc>
      </w:tr>
    </w:tbl>
    <w:p>
      <w:pPr>
        <w:shd w:fill="F7E9EF" w:color="auto" w:val="clear"/>
        <w:spacing w:after="260" w:before="100"/>
      </w:pPr>
      <w:r>
        <w:rPr>
          <w:b/>
          <w:bCs/>
          <w:color w:val="70223F"/>
          <w:sz w:val="20"/>
          <w:szCs w:val="20"/>
        </w:rPr>
        <w:t xml:space="preserve">Deliverable: </w:t>
      </w:r>
      <w:r>
        <w:rPr>
          <w:sz w:val="20"/>
          <w:szCs w:val="20"/>
        </w:rPr>
        <w:t xml:space="preserve">Literature tracking spreadsheet (20–25 papers); written Research Gap with explicit H1–H3 hypotheses; finalized project scope (dataset size, model list, cross-dataset plan); working environment and repo.</w:t>
      </w:r>
    </w:p>
    <w:p>
      <w:pPr>
        <w:spacing w:after="80" w:before="200"/>
      </w:pPr>
      <w:r>
        <w:rPr>
          <w:b/>
          <w:bCs/>
          <w:color w:val="70223F"/>
          <w:sz w:val="22"/>
          <w:szCs w:val="22"/>
        </w:rPr>
        <w:t xml:space="preserve">Week 2: Dataset Collection &amp; Caption Processing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480"/>
      </w:tblGrid>
      <w:tr>
        <w:trPr>
          <w:tblHeader/>
        </w:trPr>
        <w:tc>
          <w:tcPr>
            <w:tcW w:type="dxa" w:w="1600"/>
            <w:shd w:fill="AA33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Day(s)</w:t>
            </w:r>
          </w:p>
        </w:tc>
        <w:tc>
          <w:tcPr>
            <w:tcW w:type="dxa" w:w="8480"/>
            <w:shd w:fill="AA33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 — Exactly What To Do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Day 1</w:t>
            </w:r>
          </w:p>
        </w:tc>
        <w:tc>
          <w:tcPr>
            <w:tcW w:type="dxa" w:w="8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Write a sampling script that pulls ~2,500–3,000 COCO images (stratified by supercategory for diversity), each with its five associated captions.</w:t>
            </w:r>
          </w:p>
        </w:tc>
      </w:tr>
      <w:tr>
        <w:tc>
          <w:tcPr>
            <w:tcW w:type="dxa" w:w="1600"/>
            <w:shd w:fill="F7E9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Day 2</w:t>
            </w:r>
          </w:p>
        </w:tc>
        <w:tc>
          <w:tcPr>
            <w:tcW w:type="dxa" w:w="8480"/>
            <w:shd w:fill="F7E9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 deduplication and sanity checks — confirm every sampled image has exactly five captions, and handle or discard any that don't.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Day 3</w:t>
            </w:r>
          </w:p>
        </w:tc>
        <w:tc>
          <w:tcPr>
            <w:tcW w:type="dxa" w:w="8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Encode all captions using Sentence-BERT, producing five sentence embeddings per image.</w:t>
            </w:r>
          </w:p>
        </w:tc>
      </w:tr>
      <w:tr>
        <w:tc>
          <w:tcPr>
            <w:tcW w:type="dxa" w:w="1600"/>
            <w:shd w:fill="F7E9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Day 4</w:t>
            </w:r>
          </w:p>
        </w:tc>
        <w:tc>
          <w:tcPr>
            <w:tcW w:type="dxa" w:w="8480"/>
            <w:shd w:fill="F7E9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Compute pairwise semantic similarity among the five caption embeddings per image (ten pairs) and average them.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Day 5</w:t>
            </w:r>
          </w:p>
        </w:tc>
        <w:tc>
          <w:tcPr>
            <w:tcW w:type="dxa" w:w="8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Compute the Ambiguity Score (1 − average similarity) for every image. Inspect the score distribution to choose sensible Low/Medium/High thresholds (e.g., tertiles) and finalize the class assignment.</w:t>
            </w:r>
          </w:p>
        </w:tc>
      </w:tr>
    </w:tbl>
    <w:p>
      <w:pPr>
        <w:shd w:fill="F7E9EF" w:color="auto" w:val="clear"/>
        <w:spacing w:after="260" w:before="100"/>
      </w:pPr>
      <w:r>
        <w:rPr>
          <w:b/>
          <w:bCs/>
          <w:color w:val="70223F"/>
          <w:sz w:val="20"/>
          <w:szCs w:val="20"/>
        </w:rPr>
        <w:t xml:space="preserve">Deliverable: </w:t>
      </w:r>
      <w:r>
        <w:rPr>
          <w:sz w:val="20"/>
          <w:szCs w:val="20"/>
        </w:rPr>
        <w:t xml:space="preserve">Sampled ~2,500–3,000 COCO images with captions; Sentence-BERT caption embeddings; computed Ambiguity Scores and finalized Low/Medium/High class thresholds.</w:t>
      </w:r>
    </w:p>
    <w:p>
      <w:pPr>
        <w:pStyle w:val="Heading1"/>
        <w:spacing w:after="160" w:before="400"/>
      </w:pPr>
      <w:r>
        <w:t xml:space="preserve">Phase 2 — Score Finalization &amp; Human Validation (Weeks 3–4)</w:t>
      </w:r>
    </w:p>
    <w:p>
      <w:pPr>
        <w:spacing w:after="80" w:before="200"/>
      </w:pPr>
      <w:r>
        <w:rPr>
          <w:b/>
          <w:bCs/>
          <w:color w:val="70223F"/>
          <w:sz w:val="22"/>
          <w:szCs w:val="22"/>
        </w:rPr>
        <w:t xml:space="preserve">Week 3: Score Sanity Check &amp; Validation Design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480"/>
      </w:tblGrid>
      <w:tr>
        <w:trPr>
          <w:tblHeader/>
        </w:trPr>
        <w:tc>
          <w:tcPr>
            <w:tcW w:type="dxa" w:w="1600"/>
            <w:shd w:fill="AA33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Day(s)</w:t>
            </w:r>
          </w:p>
        </w:tc>
        <w:tc>
          <w:tcPr>
            <w:tcW w:type="dxa" w:w="8480"/>
            <w:shd w:fill="AA33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 — Exactly What To Do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Day 1</w:t>
            </w:r>
          </w:p>
        </w:tc>
        <w:tc>
          <w:tcPr>
            <w:tcW w:type="dxa" w:w="8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Sanity-check the automatically generated labels by reviewing a sample of Low, Medium, and High ambiguity images side-by-side with their captions, confirming the score behaves as expected — very similar captions should mean Low ambiguity, divergent captions should mean High.</w:t>
            </w:r>
          </w:p>
        </w:tc>
      </w:tr>
      <w:tr>
        <w:tc>
          <w:tcPr>
            <w:tcW w:type="dxa" w:w="1600"/>
            <w:shd w:fill="F7E9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Day 2</w:t>
            </w:r>
          </w:p>
        </w:tc>
        <w:tc>
          <w:tcPr>
            <w:tcW w:type="dxa" w:w="8480"/>
            <w:shd w:fill="F7E9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a stratified 70/15/15 train/val/test split by ambiguity class, saved as manifest files reused by every later stage.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Day 3</w:t>
            </w:r>
          </w:p>
        </w:tc>
        <w:tc>
          <w:tcPr>
            <w:tcW w:type="dxa" w:w="8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Design the human validation protocol: select 500 images (stratified across the three classes) for volunteer rating, and prepare a simple rating interface or form.</w:t>
            </w:r>
          </w:p>
        </w:tc>
      </w:tr>
      <w:tr>
        <w:tc>
          <w:tcPr>
            <w:tcW w:type="dxa" w:w="1600"/>
            <w:shd w:fill="F7E9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Day 4</w:t>
            </w:r>
          </w:p>
        </w:tc>
        <w:tc>
          <w:tcPr>
            <w:tcW w:type="dxa" w:w="8480"/>
            <w:shd w:fill="F7E9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Recruit 2–3 annotators and walk them through the task: view an image without its captions and judge its ambiguity as Low/Medium/High from their own impression.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Day 5</w:t>
            </w:r>
          </w:p>
        </w:tc>
        <w:tc>
          <w:tcPr>
            <w:tcW w:type="dxa" w:w="8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Begin the human validation rating sessions.</w:t>
            </w:r>
          </w:p>
        </w:tc>
      </w:tr>
    </w:tbl>
    <w:p>
      <w:pPr>
        <w:shd w:fill="F7E9EF" w:color="auto" w:val="clear"/>
        <w:spacing w:after="260" w:before="100"/>
      </w:pPr>
      <w:r>
        <w:rPr>
          <w:b/>
          <w:bCs/>
          <w:color w:val="70223F"/>
          <w:sz w:val="20"/>
          <w:szCs w:val="20"/>
        </w:rPr>
        <w:t xml:space="preserve">Deliverable: </w:t>
      </w:r>
      <w:r>
        <w:rPr>
          <w:sz w:val="20"/>
          <w:szCs w:val="20"/>
        </w:rPr>
        <w:t xml:space="preserve">Sanity-checked ambiguity labels; frozen train/val/test manifest files; human validation protocol designed and rating sessions underway.</w:t>
      </w:r>
    </w:p>
    <w:p>
      <w:pPr>
        <w:spacing w:after="80" w:before="200"/>
      </w:pPr>
      <w:r>
        <w:rPr>
          <w:b/>
          <w:bCs/>
          <w:color w:val="70223F"/>
          <w:sz w:val="22"/>
          <w:szCs w:val="22"/>
        </w:rPr>
        <w:t xml:space="preserve">Week 4: Human Validation Completion &amp; Analysis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480"/>
      </w:tblGrid>
      <w:tr>
        <w:trPr>
          <w:tblHeader/>
        </w:trPr>
        <w:tc>
          <w:tcPr>
            <w:tcW w:type="dxa" w:w="1600"/>
            <w:shd w:fill="AA33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Day(s)</w:t>
            </w:r>
          </w:p>
        </w:tc>
        <w:tc>
          <w:tcPr>
            <w:tcW w:type="dxa" w:w="8480"/>
            <w:shd w:fill="AA33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 — Exactly What To Do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Day 1–3</w:t>
            </w:r>
          </w:p>
        </w:tc>
        <w:tc>
          <w:tcPr>
            <w:tcW w:type="dxa" w:w="8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Continue and complete the human validation rating sessions across all 500 selected images, spread across the recruited annotators.</w:t>
            </w:r>
          </w:p>
        </w:tc>
      </w:tr>
      <w:tr>
        <w:tc>
          <w:tcPr>
            <w:tcW w:type="dxa" w:w="1600"/>
            <w:shd w:fill="F7E9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Day 4</w:t>
            </w:r>
          </w:p>
        </w:tc>
        <w:tc>
          <w:tcPr>
            <w:tcW w:type="dxa" w:w="8480"/>
            <w:shd w:fill="F7E9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Compute Cohen's Kappa between the automatically generated labels and the human-annotated labels (and inter-annotator agreement, if more than one human rated the same images), to validate the caption-diversity labeling method itself.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Day 5</w:t>
            </w:r>
          </w:p>
        </w:tc>
        <w:tc>
          <w:tcPr>
            <w:tcW w:type="dxa" w:w="8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Write up the Human Validation section, including the Kappa results and any patterns in where automatic and human labels disagreed.</w:t>
            </w:r>
          </w:p>
        </w:tc>
      </w:tr>
    </w:tbl>
    <w:p>
      <w:pPr>
        <w:shd w:fill="F7E9EF" w:color="auto" w:val="clear"/>
        <w:spacing w:after="260" w:before="100"/>
      </w:pPr>
      <w:r>
        <w:rPr>
          <w:b/>
          <w:bCs/>
          <w:color w:val="70223F"/>
          <w:sz w:val="20"/>
          <w:szCs w:val="20"/>
        </w:rPr>
        <w:t xml:space="preserve">Deliverable: </w:t>
      </w:r>
      <w:r>
        <w:rPr>
          <w:sz w:val="20"/>
          <w:szCs w:val="20"/>
        </w:rPr>
        <w:t xml:space="preserve">Completed 500-image human validation; Cohen's Kappa (and inter-annotator agreement) computed; Human Validation section drafted.</w:t>
      </w:r>
    </w:p>
    <w:p>
      <w:pPr>
        <w:pStyle w:val="Heading1"/>
        <w:spacing w:after="160" w:before="400"/>
      </w:pPr>
      <w:r>
        <w:t xml:space="preserve">Phase 3 — Feature Extraction &amp; Baseline Models (Weeks 5–6)</w:t>
      </w:r>
    </w:p>
    <w:p>
      <w:pPr>
        <w:spacing w:after="80" w:before="200"/>
      </w:pPr>
      <w:r>
        <w:rPr>
          <w:b/>
          <w:bCs/>
          <w:color w:val="70223F"/>
          <w:sz w:val="22"/>
          <w:szCs w:val="22"/>
        </w:rPr>
        <w:t xml:space="preserve">Week 5: Feature Extraction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480"/>
      </w:tblGrid>
      <w:tr>
        <w:trPr>
          <w:tblHeader/>
        </w:trPr>
        <w:tc>
          <w:tcPr>
            <w:tcW w:type="dxa" w:w="1600"/>
            <w:shd w:fill="AA33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Day(s)</w:t>
            </w:r>
          </w:p>
        </w:tc>
        <w:tc>
          <w:tcPr>
            <w:tcW w:type="dxa" w:w="8480"/>
            <w:shd w:fill="AA33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 — Exactly What To Do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Day 1</w:t>
            </w:r>
          </w:p>
        </w:tc>
        <w:tc>
          <w:tcPr>
            <w:tcW w:type="dxa" w:w="8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Extract Object Count and Relationship Density directly from COCO's existing instance annotations and object co-occurrence, minimizing new detection work.</w:t>
            </w:r>
          </w:p>
        </w:tc>
      </w:tr>
      <w:tr>
        <w:tc>
          <w:tcPr>
            <w:tcW w:type="dxa" w:w="1600"/>
            <w:shd w:fill="F7E9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Day 2</w:t>
            </w:r>
          </w:p>
        </w:tc>
        <w:tc>
          <w:tcPr>
            <w:tcW w:type="dxa" w:w="8480"/>
            <w:shd w:fill="F7E9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Compute Scene Clutter (object density plus Canny edge density) and Color Entropy (Shannon entropy over the color histogram).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Day 3</w:t>
            </w:r>
          </w:p>
        </w:tc>
        <w:tc>
          <w:tcPr>
            <w:tcW w:type="dxa" w:w="8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 EasyOCR to compute OCR Density — the percentage of image area covered by detected text.</w:t>
            </w:r>
          </w:p>
        </w:tc>
      </w:tr>
      <w:tr>
        <w:tc>
          <w:tcPr>
            <w:tcW w:type="dxa" w:w="1600"/>
            <w:shd w:fill="F7E9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Day 4</w:t>
            </w:r>
          </w:p>
        </w:tc>
        <w:tc>
          <w:tcPr>
            <w:tcW w:type="dxa" w:w="8480"/>
            <w:shd w:fill="F7E9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Consolidate all six handcrafted features into one feature table alongside the ambiguity label, and run an initial Pearson/Spearman correlation pass between each feature and the ambiguity score.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Day 5</w:t>
            </w:r>
          </w:p>
        </w:tc>
        <w:tc>
          <w:tcPr>
            <w:tcW w:type="dxa" w:w="8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Draft the Feature Engineering section of the Methodology.</w:t>
            </w:r>
          </w:p>
        </w:tc>
      </w:tr>
    </w:tbl>
    <w:p>
      <w:pPr>
        <w:shd w:fill="F7E9EF" w:color="auto" w:val="clear"/>
        <w:spacing w:after="260" w:before="100"/>
      </w:pPr>
      <w:r>
        <w:rPr>
          <w:b/>
          <w:bCs/>
          <w:color w:val="70223F"/>
          <w:sz w:val="20"/>
          <w:szCs w:val="20"/>
        </w:rPr>
        <w:t xml:space="preserve">Deliverable: </w:t>
      </w:r>
      <w:r>
        <w:rPr>
          <w:sz w:val="20"/>
          <w:szCs w:val="20"/>
        </w:rPr>
        <w:t xml:space="preserve">Complete six-feature handcrafted table (object count, clutter, edge density, color entropy, OCR density, relationship density); initial feature-label correlation results.</w:t>
      </w:r>
    </w:p>
    <w:p>
      <w:pPr>
        <w:spacing w:after="80" w:before="200"/>
      </w:pPr>
      <w:r>
        <w:rPr>
          <w:b/>
          <w:bCs/>
          <w:color w:val="70223F"/>
          <w:sz w:val="22"/>
          <w:szCs w:val="22"/>
        </w:rPr>
        <w:t xml:space="preserve">Week 6: Baseline Models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480"/>
      </w:tblGrid>
      <w:tr>
        <w:trPr>
          <w:tblHeader/>
        </w:trPr>
        <w:tc>
          <w:tcPr>
            <w:tcW w:type="dxa" w:w="1600"/>
            <w:shd w:fill="AA33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Day(s)</w:t>
            </w:r>
          </w:p>
        </w:tc>
        <w:tc>
          <w:tcPr>
            <w:tcW w:type="dxa" w:w="8480"/>
            <w:shd w:fill="AA33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 — Exactly What To Do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Day 1</w:t>
            </w:r>
          </w:p>
        </w:tc>
        <w:tc>
          <w:tcPr>
            <w:tcW w:type="dxa" w:w="8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Train and tune Random Forest on the handcrafted feature table (grid search with cross-validation).</w:t>
            </w:r>
          </w:p>
        </w:tc>
      </w:tr>
      <w:tr>
        <w:tc>
          <w:tcPr>
            <w:tcW w:type="dxa" w:w="1600"/>
            <w:shd w:fill="F7E9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Day 2</w:t>
            </w:r>
          </w:p>
        </w:tc>
        <w:tc>
          <w:tcPr>
            <w:tcW w:type="dxa" w:w="8480"/>
            <w:shd w:fill="F7E9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Train and tune XGBoost the same way.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Day 3</w:t>
            </w:r>
          </w:p>
        </w:tc>
        <w:tc>
          <w:tcPr>
            <w:tcW w:type="dxa" w:w="8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Train and tune LightGBM the same way.</w:t>
            </w:r>
          </w:p>
        </w:tc>
      </w:tr>
      <w:tr>
        <w:tc>
          <w:tcPr>
            <w:tcW w:type="dxa" w:w="1600"/>
            <w:shd w:fill="F7E9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Day 4</w:t>
            </w:r>
          </w:p>
        </w:tc>
        <w:tc>
          <w:tcPr>
            <w:tcW w:type="dxa" w:w="8480"/>
            <w:shd w:fill="F7E9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Evaluate all three baseline models on the test set: accuracy, precision, recall, F1, confusion matrix, one-vs-rest ROC-AUC, plus Spearman/Pearson correlation between predicted class and the continuous ambiguity score.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Day 5</w:t>
            </w:r>
          </w:p>
        </w:tc>
        <w:tc>
          <w:tcPr>
            <w:tcW w:type="dxa" w:w="8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Compile the baseline comparison table (the traditional-ML experiment) and draft the Baseline Models section.</w:t>
            </w:r>
          </w:p>
        </w:tc>
      </w:tr>
    </w:tbl>
    <w:p>
      <w:pPr>
        <w:shd w:fill="F7E9EF" w:color="auto" w:val="clear"/>
        <w:spacing w:after="260" w:before="100"/>
      </w:pPr>
      <w:r>
        <w:rPr>
          <w:b/>
          <w:bCs/>
          <w:color w:val="70223F"/>
          <w:sz w:val="20"/>
          <w:szCs w:val="20"/>
        </w:rPr>
        <w:t xml:space="preserve">Deliverable: </w:t>
      </w:r>
      <w:r>
        <w:rPr>
          <w:sz w:val="20"/>
          <w:szCs w:val="20"/>
        </w:rPr>
        <w:t xml:space="preserve">Tuned Random Forest, XGBoost, and LightGBM with full test-set metrics; baseline comparison table; Baseline Models section drafted.</w:t>
      </w:r>
    </w:p>
    <w:p>
      <w:pPr>
        <w:pStyle w:val="Heading1"/>
        <w:spacing w:after="160" w:before="400"/>
      </w:pPr>
      <w:r>
        <w:t xml:space="preserve">Phase 4 — Deep Learning Models (Weeks 7–8)</w:t>
      </w:r>
    </w:p>
    <w:p>
      <w:pPr>
        <w:spacing w:after="80" w:before="200"/>
      </w:pPr>
      <w:r>
        <w:rPr>
          <w:b/>
          <w:bCs/>
          <w:color w:val="70223F"/>
          <w:sz w:val="22"/>
          <w:szCs w:val="22"/>
        </w:rPr>
        <w:t xml:space="preserve">Week 7: Primary Deep Learning Models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480"/>
      </w:tblGrid>
      <w:tr>
        <w:trPr>
          <w:tblHeader/>
        </w:trPr>
        <w:tc>
          <w:tcPr>
            <w:tcW w:type="dxa" w:w="1600"/>
            <w:shd w:fill="AA33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Day(s)</w:t>
            </w:r>
          </w:p>
        </w:tc>
        <w:tc>
          <w:tcPr>
            <w:tcW w:type="dxa" w:w="8480"/>
            <w:shd w:fill="AA33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 — Exactly What To Do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Day 1</w:t>
            </w:r>
          </w:p>
        </w:tc>
        <w:tc>
          <w:tcPr>
            <w:tcW w:type="dxa" w:w="8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the shared image-classification training pipeline: Dataset/DataLoader classes, transforms, a training loop with checkpointing, and logging.</w:t>
            </w:r>
          </w:p>
        </w:tc>
      </w:tr>
      <w:tr>
        <w:tc>
          <w:tcPr>
            <w:tcW w:type="dxa" w:w="1600"/>
            <w:shd w:fill="F7E9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Day 2</w:t>
            </w:r>
          </w:p>
        </w:tc>
        <w:tc>
          <w:tcPr>
            <w:tcW w:type="dxa" w:w="8480"/>
            <w:shd w:fill="F7E9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Fine-tune ResNet50 (ImageNet-pretrained) for the three-class ambiguity problem and evaluate on the validation set.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Day 3</w:t>
            </w:r>
          </w:p>
        </w:tc>
        <w:tc>
          <w:tcPr>
            <w:tcW w:type="dxa" w:w="8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Finish ResNet50 evaluation on the test set with the full metric suite.</w:t>
            </w:r>
          </w:p>
        </w:tc>
      </w:tr>
      <w:tr>
        <w:tc>
          <w:tcPr>
            <w:tcW w:type="dxa" w:w="1600"/>
            <w:shd w:fill="F7E9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Day 4</w:t>
            </w:r>
          </w:p>
        </w:tc>
        <w:tc>
          <w:tcPr>
            <w:tcW w:type="dxa" w:w="8480"/>
            <w:shd w:fill="F7E9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Fine-tune ViT-Base/16 using the identical pipeline and splits.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Day 5</w:t>
            </w:r>
          </w:p>
        </w:tc>
        <w:tc>
          <w:tcPr>
            <w:tcW w:type="dxa" w:w="8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Evaluate ViT-Base on the test set with the full metric suite, and compile the initial CNN-vs-Transformer comparison (the primary architecture pair).</w:t>
            </w:r>
          </w:p>
        </w:tc>
      </w:tr>
    </w:tbl>
    <w:p>
      <w:pPr>
        <w:shd w:fill="F7E9EF" w:color="auto" w:val="clear"/>
        <w:spacing w:after="260" w:before="100"/>
      </w:pPr>
      <w:r>
        <w:rPr>
          <w:b/>
          <w:bCs/>
          <w:color w:val="70223F"/>
          <w:sz w:val="20"/>
          <w:szCs w:val="20"/>
        </w:rPr>
        <w:t xml:space="preserve">Deliverable: </w:t>
      </w:r>
      <w:r>
        <w:rPr>
          <w:sz w:val="20"/>
          <w:szCs w:val="20"/>
        </w:rPr>
        <w:t xml:space="preserve">Fine-tuned ResNet50 and ViT-Base with full test-set metrics; initial CNN-vs-Transformer comparison table.</w:t>
      </w:r>
    </w:p>
    <w:p>
      <w:pPr>
        <w:spacing w:after="80" w:before="200"/>
      </w:pPr>
      <w:r>
        <w:rPr>
          <w:b/>
          <w:bCs/>
          <w:color w:val="70223F"/>
          <w:sz w:val="22"/>
          <w:szCs w:val="22"/>
        </w:rPr>
        <w:t xml:space="preserve">Week 8: Stretch Models &amp; Consolidation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480"/>
      </w:tblGrid>
      <w:tr>
        <w:trPr>
          <w:tblHeader/>
        </w:trPr>
        <w:tc>
          <w:tcPr>
            <w:tcW w:type="dxa" w:w="1600"/>
            <w:shd w:fill="AA33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Day(s)</w:t>
            </w:r>
          </w:p>
        </w:tc>
        <w:tc>
          <w:tcPr>
            <w:tcW w:type="dxa" w:w="8480"/>
            <w:shd w:fill="AA33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 — Exactly What To Do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Day 1</w:t>
            </w:r>
          </w:p>
        </w:tc>
        <w:tc>
          <w:tcPr>
            <w:tcW w:type="dxa" w:w="8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Stretch task: fine-tune EfficientNet-B0 if on schedule. If behind, use this day as a buffer instead.</w:t>
            </w:r>
          </w:p>
        </w:tc>
      </w:tr>
      <w:tr>
        <w:tc>
          <w:tcPr>
            <w:tcW w:type="dxa" w:w="1600"/>
            <w:shd w:fill="F7E9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Day 2</w:t>
            </w:r>
          </w:p>
        </w:tc>
        <w:tc>
          <w:tcPr>
            <w:tcW w:type="dxa" w:w="8480"/>
            <w:shd w:fill="F7E9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Stretch task: fine-tune Swin-Tiny if on schedule and EfficientNet-B0 is complete. If behind, continue using this day as a buffer/catch-up.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Day 3</w:t>
            </w:r>
          </w:p>
        </w:tc>
        <w:tc>
          <w:tcPr>
            <w:tcW w:type="dxa" w:w="8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Evaluate any stretch models completed with the same metric suite as ResNet50 and ViT-Base.</w:t>
            </w:r>
          </w:p>
        </w:tc>
      </w:tr>
      <w:tr>
        <w:tc>
          <w:tcPr>
            <w:tcW w:type="dxa" w:w="1600"/>
            <w:shd w:fill="F7E9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Day 4</w:t>
            </w:r>
          </w:p>
        </w:tc>
        <w:tc>
          <w:tcPr>
            <w:tcW w:type="dxa" w:w="8480"/>
            <w:shd w:fill="F7E9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Compile the full deep-learning comparison table (ResNet50, ViT-Base, and EfficientNet-B0/Swin-Tiny if attempted) and the baseline-vs-deep-learning comparison.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Day 5</w:t>
            </w:r>
          </w:p>
        </w:tc>
        <w:tc>
          <w:tcPr>
            <w:tcW w:type="dxa" w:w="8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Draft the Deep Learning Models section of the Results.</w:t>
            </w:r>
          </w:p>
        </w:tc>
      </w:tr>
    </w:tbl>
    <w:p>
      <w:pPr>
        <w:shd w:fill="F7E9EF" w:color="auto" w:val="clear"/>
        <w:spacing w:after="260" w:before="100"/>
      </w:pPr>
      <w:r>
        <w:rPr>
          <w:b/>
          <w:bCs/>
          <w:color w:val="70223F"/>
          <w:sz w:val="20"/>
          <w:szCs w:val="20"/>
        </w:rPr>
        <w:t xml:space="preserve">Deliverable: </w:t>
      </w:r>
      <w:r>
        <w:rPr>
          <w:sz w:val="20"/>
          <w:szCs w:val="20"/>
        </w:rPr>
        <w:t xml:space="preserve">Full deep-learning comparison table (with EfficientNet-B0/Swin-Tiny if attempted); baseline-vs-deep-learning comparison; Deep Learning Models section drafted.</w:t>
      </w:r>
    </w:p>
    <w:p>
      <w:pPr>
        <w:pStyle w:val="Heading1"/>
        <w:spacing w:after="160" w:before="400"/>
      </w:pPr>
      <w:r>
        <w:t xml:space="preserve">Phase 5 — Explainability &amp; Experiments (Weeks 9–10)</w:t>
      </w:r>
    </w:p>
    <w:p>
      <w:pPr>
        <w:spacing w:after="80" w:before="200"/>
      </w:pPr>
      <w:r>
        <w:rPr>
          <w:b/>
          <w:bCs/>
          <w:color w:val="70223F"/>
          <w:sz w:val="22"/>
          <w:szCs w:val="22"/>
        </w:rPr>
        <w:t xml:space="preserve">Week 9: Explainability &amp; Ablation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480"/>
      </w:tblGrid>
      <w:tr>
        <w:trPr>
          <w:tblHeader/>
        </w:trPr>
        <w:tc>
          <w:tcPr>
            <w:tcW w:type="dxa" w:w="1600"/>
            <w:shd w:fill="AA33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Day(s)</w:t>
            </w:r>
          </w:p>
        </w:tc>
        <w:tc>
          <w:tcPr>
            <w:tcW w:type="dxa" w:w="8480"/>
            <w:shd w:fill="AA33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 — Exactly What To Do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Day 1</w:t>
            </w:r>
          </w:p>
        </w:tc>
        <w:tc>
          <w:tcPr>
            <w:tcW w:type="dxa" w:w="8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 Grad-CAM for ResNet50 (and EfficientNet-B0 if trained). Generate heatmaps for 2–3 representative images per ambiguity class.</w:t>
            </w:r>
          </w:p>
        </w:tc>
      </w:tr>
      <w:tr>
        <w:tc>
          <w:tcPr>
            <w:tcW w:type="dxa" w:w="1600"/>
            <w:shd w:fill="F7E9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Day 2</w:t>
            </w:r>
          </w:p>
        </w:tc>
        <w:tc>
          <w:tcPr>
            <w:tcW w:type="dxa" w:w="8480"/>
            <w:shd w:fill="F7E9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 attention visualization for ViT (and Swin if trained). Generate attention maps for the same representative images used in Day 1, for a direct CNN-vs-Transformer explainability comparison.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Day 3</w:t>
            </w:r>
          </w:p>
        </w:tc>
        <w:tc>
          <w:tcPr>
            <w:tcW w:type="dxa" w:w="8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Curate the clearest 8–10 explainability figures, with captions explaining which image regions drove each ambiguity prediction.</w:t>
            </w:r>
          </w:p>
        </w:tc>
      </w:tr>
      <w:tr>
        <w:tc>
          <w:tcPr>
            <w:tcW w:type="dxa" w:w="1600"/>
            <w:shd w:fill="F7E9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Day 4</w:t>
            </w:r>
          </w:p>
        </w:tc>
        <w:tc>
          <w:tcPr>
            <w:tcW w:type="dxa" w:w="8480"/>
            <w:shd w:fill="F7E9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 the feature ablation study: remove each handcrafted feature one at a time from the best baseline model, retrain, and measure the resulting performance drop to rank feature importance.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Day 5</w:t>
            </w:r>
          </w:p>
        </w:tc>
        <w:tc>
          <w:tcPr>
            <w:tcW w:type="dxa" w:w="8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Draft the Explainability and Ablation sections.</w:t>
            </w:r>
          </w:p>
        </w:tc>
      </w:tr>
    </w:tbl>
    <w:p>
      <w:pPr>
        <w:shd w:fill="F7E9EF" w:color="auto" w:val="clear"/>
        <w:spacing w:after="260" w:before="100"/>
      </w:pPr>
      <w:r>
        <w:rPr>
          <w:b/>
          <w:bCs/>
          <w:color w:val="70223F"/>
          <w:sz w:val="20"/>
          <w:szCs w:val="20"/>
        </w:rPr>
        <w:t xml:space="preserve">Deliverable: </w:t>
      </w:r>
      <w:r>
        <w:rPr>
          <w:sz w:val="20"/>
          <w:szCs w:val="20"/>
        </w:rPr>
        <w:t xml:space="preserve">Grad-CAM and attention-visualization figures on matched images; feature ablation results; Explainability and Ablation sections drafted.</w:t>
      </w:r>
    </w:p>
    <w:p>
      <w:pPr>
        <w:spacing w:after="80" w:before="200"/>
      </w:pPr>
      <w:r>
        <w:rPr>
          <w:b/>
          <w:bCs/>
          <w:color w:val="70223F"/>
          <w:sz w:val="22"/>
          <w:szCs w:val="22"/>
        </w:rPr>
        <w:t xml:space="preserve">Week 10: Cross-Dataset Generalization &amp; Final Evaluation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480"/>
      </w:tblGrid>
      <w:tr>
        <w:trPr>
          <w:tblHeader/>
        </w:trPr>
        <w:tc>
          <w:tcPr>
            <w:tcW w:type="dxa" w:w="1600"/>
            <w:shd w:fill="AA33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Day(s)</w:t>
            </w:r>
          </w:p>
        </w:tc>
        <w:tc>
          <w:tcPr>
            <w:tcW w:type="dxa" w:w="8480"/>
            <w:shd w:fill="AA33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 — Exactly What To Do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Day 1</w:t>
            </w:r>
          </w:p>
        </w:tc>
        <w:tc>
          <w:tcPr>
            <w:tcW w:type="dxa" w:w="8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Sample a small comparison set (~300–500 images) from Flickr30k, which also provides five captions per image, and apply the identical Sentence-BERT ambiguity-labeling pipeline to generate labels for this new dataset.</w:t>
            </w:r>
          </w:p>
        </w:tc>
      </w:tr>
      <w:tr>
        <w:tc>
          <w:tcPr>
            <w:tcW w:type="dxa" w:w="1600"/>
            <w:shd w:fill="F7E9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Day 2</w:t>
            </w:r>
          </w:p>
        </w:tc>
        <w:tc>
          <w:tcPr>
            <w:tcW w:type="dxa" w:w="8480"/>
            <w:shd w:fill="F7E9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 the best-performing trained model (from Weeks 7–8) on the Flickr30k subset without retraining, to test cross-dataset generalization.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Day 3</w:t>
            </w:r>
          </w:p>
        </w:tc>
        <w:tc>
          <w:tcPr>
            <w:tcW w:type="dxa" w:w="8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Analyze the generalization results: compare performance on the COCO test set vs. the Flickr30k subset and discuss any domain gap.</w:t>
            </w:r>
          </w:p>
        </w:tc>
      </w:tr>
      <w:tr>
        <w:tc>
          <w:tcPr>
            <w:tcW w:type="dxa" w:w="1600"/>
            <w:shd w:fill="F7E9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Day 4</w:t>
            </w:r>
          </w:p>
        </w:tc>
        <w:tc>
          <w:tcPr>
            <w:tcW w:type="dxa" w:w="8480"/>
            <w:shd w:fill="F7E9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Consolidate all final evaluation results — baseline vs. deep learning, CNN vs. Transformer, ablation, and cross-dataset generalization — into final tables and figures.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Day 5</w:t>
            </w:r>
          </w:p>
        </w:tc>
        <w:tc>
          <w:tcPr>
            <w:tcW w:type="dxa" w:w="8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Draft the Experiments and Results sections in full, using every table and figure gathered so far.</w:t>
            </w:r>
          </w:p>
        </w:tc>
      </w:tr>
    </w:tbl>
    <w:p>
      <w:pPr>
        <w:shd w:fill="F7E9EF" w:color="auto" w:val="clear"/>
        <w:spacing w:after="260" w:before="100"/>
      </w:pPr>
      <w:r>
        <w:rPr>
          <w:b/>
          <w:bCs/>
          <w:color w:val="70223F"/>
          <w:sz w:val="20"/>
          <w:szCs w:val="20"/>
        </w:rPr>
        <w:t xml:space="preserve">Deliverable: </w:t>
      </w:r>
      <w:r>
        <w:rPr>
          <w:sz w:val="20"/>
          <w:szCs w:val="20"/>
        </w:rPr>
        <w:t xml:space="preserve">Flickr30k generalization results compared against COCO test performance; all final experiment tables and figures consolidated; Experiments and Results sections drafted.</w:t>
      </w:r>
    </w:p>
    <w:p>
      <w:pPr>
        <w:pStyle w:val="Heading1"/>
        <w:spacing w:after="160" w:before="400"/>
      </w:pPr>
      <w:r>
        <w:t xml:space="preserve">Phase 6 — Paper Writing &amp; Submission Prep (Weeks 11–12)</w:t>
      </w:r>
    </w:p>
    <w:p>
      <w:pPr>
        <w:spacing w:after="80" w:before="200"/>
      </w:pPr>
      <w:r>
        <w:rPr>
          <w:b/>
          <w:bCs/>
          <w:color w:val="70223F"/>
          <w:sz w:val="22"/>
          <w:szCs w:val="22"/>
        </w:rPr>
        <w:t xml:space="preserve">Week 11: Full Draft (Part 1)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480"/>
      </w:tblGrid>
      <w:tr>
        <w:trPr>
          <w:tblHeader/>
        </w:trPr>
        <w:tc>
          <w:tcPr>
            <w:tcW w:type="dxa" w:w="1600"/>
            <w:shd w:fill="AA33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Day(s)</w:t>
            </w:r>
          </w:p>
        </w:tc>
        <w:tc>
          <w:tcPr>
            <w:tcW w:type="dxa" w:w="8480"/>
            <w:shd w:fill="AA33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 — Exactly What To Do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Day 1</w:t>
            </w:r>
          </w:p>
        </w:tc>
        <w:tc>
          <w:tcPr>
            <w:tcW w:type="dxa" w:w="8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Write the full Introduction and Related Work sections in prose, using the Week 1 literature tracking sheet.</w:t>
            </w:r>
          </w:p>
        </w:tc>
      </w:tr>
      <w:tr>
        <w:tc>
          <w:tcPr>
            <w:tcW w:type="dxa" w:w="1600"/>
            <w:shd w:fill="F7E9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Day 2</w:t>
            </w:r>
          </w:p>
        </w:tc>
        <w:tc>
          <w:tcPr>
            <w:tcW w:type="dxa" w:w="8480"/>
            <w:shd w:fill="F7E9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Write the Research Gap and Dataset Construction sections, covering sourcing, sampling, and the automatic labeling method.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Day 3</w:t>
            </w:r>
          </w:p>
        </w:tc>
        <w:tc>
          <w:tcPr>
            <w:tcW w:type="dxa" w:w="8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Write the Ambiguity Label Generation section in detail: the Sentence-BERT embedding step, pairwise similarity computation, the score formula, thresholding, and the human validation results.</w:t>
            </w:r>
          </w:p>
        </w:tc>
      </w:tr>
      <w:tr>
        <w:tc>
          <w:tcPr>
            <w:tcW w:type="dxa" w:w="1600"/>
            <w:shd w:fill="F7E9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Day 4</w:t>
            </w:r>
          </w:p>
        </w:tc>
        <w:tc>
          <w:tcPr>
            <w:tcW w:type="dxa" w:w="8480"/>
            <w:shd w:fill="F7E9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Write the Methodology section: feature engineering, baseline models, deep-learning architectures, and explainability methods.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Day 5</w:t>
            </w:r>
          </w:p>
        </w:tc>
        <w:tc>
          <w:tcPr>
            <w:tcW w:type="dxa" w:w="8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Write the Experiments and Results sections, inserting every table and figure from Weeks 6–10.</w:t>
            </w:r>
          </w:p>
        </w:tc>
      </w:tr>
    </w:tbl>
    <w:p>
      <w:pPr>
        <w:shd w:fill="F7E9EF" w:color="auto" w:val="clear"/>
        <w:spacing w:after="260" w:before="100"/>
      </w:pPr>
      <w:r>
        <w:rPr>
          <w:b/>
          <w:bCs/>
          <w:color w:val="70223F"/>
          <w:sz w:val="20"/>
          <w:szCs w:val="20"/>
        </w:rPr>
        <w:t xml:space="preserve">Deliverable: </w:t>
      </w:r>
      <w:r>
        <w:rPr>
          <w:sz w:val="20"/>
          <w:szCs w:val="20"/>
        </w:rPr>
        <w:t xml:space="preserve">Complete draft of Introduction through Results, including the detailed Ambiguity Label Generation section.</w:t>
      </w:r>
    </w:p>
    <w:p>
      <w:pPr>
        <w:spacing w:after="80" w:before="200"/>
      </w:pPr>
      <w:r>
        <w:rPr>
          <w:b/>
          <w:bCs/>
          <w:color w:val="70223F"/>
          <w:sz w:val="22"/>
          <w:szCs w:val="22"/>
        </w:rPr>
        <w:t xml:space="preserve">Week 12: Final Writing &amp; Submission Prep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480"/>
      </w:tblGrid>
      <w:tr>
        <w:trPr>
          <w:tblHeader/>
        </w:trPr>
        <w:tc>
          <w:tcPr>
            <w:tcW w:type="dxa" w:w="1600"/>
            <w:shd w:fill="AA33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Day(s)</w:t>
            </w:r>
          </w:p>
        </w:tc>
        <w:tc>
          <w:tcPr>
            <w:tcW w:type="dxa" w:w="8480"/>
            <w:shd w:fill="AA33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 — Exactly What To Do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Day 1</w:t>
            </w:r>
          </w:p>
        </w:tc>
        <w:tc>
          <w:tcPr>
            <w:tcW w:type="dxa" w:w="8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Write the Discussion, Limitations (dataset size relative to the original 5,000–10,000 target, the two-model primary deep-learning comparison with EfficientNet/Swin as stretch-dependent, and the assumptions built into the caption-diversity labeling method), Future Work, and Conclusion sections.</w:t>
            </w:r>
          </w:p>
        </w:tc>
      </w:tr>
      <w:tr>
        <w:tc>
          <w:tcPr>
            <w:tcW w:type="dxa" w:w="1600"/>
            <w:shd w:fill="F7E9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Day 2</w:t>
            </w:r>
          </w:p>
        </w:tc>
        <w:tc>
          <w:tcPr>
            <w:tcW w:type="dxa" w:w="8480"/>
            <w:shd w:fill="F7E9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Produce all remaining figures (pipeline diagram, ambiguity-score distribution, confusion matrices, ROC curves, cross-dataset generalization chart) and assemble the reference list.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Day 3</w:t>
            </w:r>
          </w:p>
        </w:tc>
        <w:tc>
          <w:tcPr>
            <w:tcW w:type="dxa" w:w="8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read-through and editing pass. Format the paper to your target venue's template — ICIP, ICPR, WACV, and ACCV are typically short, IEEE-style formats with strict page limits, so check the limit early.</w:t>
            </w:r>
          </w:p>
        </w:tc>
      </w:tr>
      <w:tr>
        <w:tc>
          <w:tcPr>
            <w:tcW w:type="dxa" w:w="1600"/>
            <w:shd w:fill="F7E9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Day 4</w:t>
            </w:r>
          </w:p>
        </w:tc>
        <w:tc>
          <w:tcPr>
            <w:tcW w:type="dxa" w:w="8480"/>
            <w:shd w:fill="F7E9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Prepare the thesis report and presentation slides alongside the paper, if required by your program.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Day 5</w:t>
            </w:r>
          </w:p>
        </w:tc>
        <w:tc>
          <w:tcPr>
            <w:tcW w:type="dxa" w:w="8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Final proofreading pass, consistent reference formatting, and package the submission: paper PDF, dataset documentation, code, trained models, and data-source links.</w:t>
            </w:r>
          </w:p>
        </w:tc>
      </w:tr>
    </w:tbl>
    <w:p>
      <w:pPr>
        <w:shd w:fill="F7E9EF" w:color="auto" w:val="clear"/>
        <w:spacing w:after="260" w:before="100"/>
      </w:pPr>
      <w:r>
        <w:rPr>
          <w:b/>
          <w:bCs/>
          <w:color w:val="70223F"/>
          <w:sz w:val="20"/>
          <w:szCs w:val="20"/>
        </w:rPr>
        <w:t xml:space="preserve">Deliverable: </w:t>
      </w:r>
      <w:r>
        <w:rPr>
          <w:sz w:val="20"/>
          <w:szCs w:val="20"/>
        </w:rPr>
        <w:t xml:space="preserve">Complete paper with Discussion, Limitations, Future Work, and Conclusion; all figures finalized; thesis report and slides if required; submission-ready package.</w:t>
      </w:r>
    </w:p>
    <w:p>
      <w:pPr>
        <w:pStyle w:val="Heading1"/>
        <w:spacing w:after="160" w:before="400"/>
      </w:pPr>
      <w:r>
        <w:t xml:space="preserve">Risk Register &amp; Contingencies</w:t>
      </w:r>
    </w:p>
    <w:p>
      <w:pPr>
        <w:spacing w:after="160"/>
      </w:pPr>
      <w:r>
        <w:t xml:space="preserve">The most likely points where this 12-week schedule slips, and the pre-planned fallback for each: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080"/>
      </w:tblGrid>
      <w:tr>
        <w:trPr>
          <w:tblHeader/>
        </w:trPr>
        <w:tc>
          <w:tcPr>
            <w:tcW w:type="dxa" w:w="4000"/>
            <w:shd w:fill="AA33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6080"/>
            <w:shd w:fill="AA33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Contingency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Sentence-BERT-derived ambiguity labels might not align well with human perception</w:t>
            </w:r>
          </w:p>
        </w:tc>
        <w:tc>
          <w:tcPr>
            <w:tcW w:type="dxa" w:w="6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This is exactly why Weeks 3–4 include a dedicated 500-image human validation study with Cohen's Kappa. If Kappa comes out low, revisit the score formula or similarity aggregation (e.g., try a different embedding model) before treating the automatic labels as reliable ground truth for modeling.</w:t>
            </w:r>
          </w:p>
        </w:tc>
      </w:tr>
      <w:tr>
        <w:tc>
          <w:tcPr>
            <w:tcW w:type="dxa" w:w="4000"/>
            <w:shd w:fill="F7E9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Four deep-learning architectures may not all fit into the two weeks allotted (Weeks 7–8)</w:t>
            </w:r>
          </w:p>
        </w:tc>
        <w:tc>
          <w:tcPr>
            <w:tcW w:type="dxa" w:w="6080"/>
            <w:shd w:fill="F7E9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ResNet50 and ViT-Base are the mandatory pair that tests the core CNN-vs-Transformer hypothesis (H2). EfficientNet-B0 and Swin-Tiny are explicit stretch tasks with a clean fallback: drop them and note as future work without weakening the paper's central claim.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Low/Medium/High threshold choice is somewhat arbitrary</w:t>
            </w:r>
          </w:p>
        </w:tc>
        <w:tc>
          <w:tcPr>
            <w:tcW w:type="dxa" w:w="6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 the thresholding method clearly (e.g., tertiles of the score distribution) and report the continuous Spearman/Pearson correlation results as a threshold-independent complement to the classification metrics.</w:t>
            </w:r>
          </w:p>
        </w:tc>
      </w:tr>
      <w:tr>
        <w:tc>
          <w:tcPr>
            <w:tcW w:type="dxa" w:w="4000"/>
            <w:shd w:fill="F7E9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Recruiting even 2–3 volunteers for a 500-image human validation study takes real coordination time</w:t>
            </w:r>
          </w:p>
        </w:tc>
        <w:tc>
          <w:tcPr>
            <w:tcW w:type="dxa" w:w="6080"/>
            <w:shd w:fill="F7E9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If volunteer availability is limited, reduce the validated subset to 200–250 images rather than skipping validation entirely, and note the smaller sample size as a limitation.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cross-dataset generalization check depends on Flickr30k access</w:t>
            </w:r>
          </w:p>
        </w:tc>
        <w:tc>
          <w:tcPr>
            <w:tcW w:type="dxa" w:w="6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If Flickr30k is unavailable, substitute another multi-caption dataset, or use a held-out COCO supercategory split as a milder cross-domain proxy, and document the substitution clearly.</w:t>
            </w:r>
          </w:p>
        </w:tc>
      </w:tr>
      <w:tr>
        <w:tc>
          <w:tcPr>
            <w:tcW w:type="dxa" w:w="4000"/>
            <w:shd w:fill="F7E9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Twelve weeks is tight given four distinct experiments (baseline vs. DL, CNN vs. Transformer, ablation, cross-dataset generalization)</w:t>
            </w:r>
          </w:p>
        </w:tc>
        <w:tc>
          <w:tcPr>
            <w:tcW w:type="dxa" w:w="6080"/>
            <w:shd w:fill="F7E9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If behind by Week 8, drop the cross-dataset generalization experiment (Week 10) first — it's the most self-contained and addable/droppable piece, and the other three experiments already fully support the paper's core contributions.</w:t>
            </w:r>
          </w:p>
        </w:tc>
      </w:tr>
    </w:tbl>
    <w:p>
      <w:pPr>
        <w:pStyle w:val="Heading1"/>
        <w:spacing w:after="160" w:before="400"/>
      </w:pPr>
      <w:r>
        <w:t xml:space="preserve">Weekly Time Budget</w:t>
      </w:r>
    </w:p>
    <w:p>
      <w:pPr>
        <w:spacing w:after="160"/>
      </w:pPr>
      <w:r>
        <w:t xml:space="preserve">At roughly 20–25 hours/week, this plan is designed for a part-time research effort alongside other commitments: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Weeks 1–2 (literature + automatic labeling pipeline): lighter than a typical CV project's early phase, since there's no manual annotation of the full dataset — a good phase to bank extra hours if you have them.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Weeks 3–4 (human validation): moderate, but dependent on volunteer scheduling — start recruiting annotators a few days before Week 3 begins.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Weeks 5–6 (features + baselines): light on compute, since handcrafted features and tabular models train quickly.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Weeks 7–8 (deep learning): the heaviest compute phase — queue long training runs overnight or on a cloud GPU so they don't block your working hours.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Weeks 9–10 (explainability + experiments): moderate — mostly running already-trained models under different conditions and generating figures.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Weeks 11–12 (writing): steady, moderate effort — every phase above already ends with a drafted section, so this is assembly and polish.</w:t>
      </w:r>
    </w:p>
    <w:p>
      <w:pPr>
        <w:pStyle w:val="Heading1"/>
        <w:spacing w:after="160" w:before="400"/>
      </w:pPr>
      <w:r>
        <w:t xml:space="preserve">Target Publication Venues</w:t>
      </w:r>
    </w:p>
    <w:p>
      <w:pPr>
        <w:spacing w:after="160"/>
      </w:pPr>
      <w:r>
        <w:t xml:space="preserve">As specified: ICIP, ICPR, ACCV, WACV, IEEE Access, Pattern Recognition Letters, and Expert Systems with Applications. Given the trimmed dataset size and the two-architecture primary deep-learning comparison (with the other two as schedule-dependent stretch goals), a short or workshop-track paper at one of the conference venues (ICIP, ICPR, WACV, ACCV) is a realistic first target, with the journal options (IEEE Access, Pattern Recognition Letters, Expert Systems with Applications) well suited to a fuller follow-up version with the complete four-architecture comparison and the larger original dataset target.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2026-07-08T10:28:27.939Z</dcterms:created>
  <dcterms:modified xsi:type="dcterms:W3CDTF">2026-07-08T10:28:27.952Z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