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sz w:val="48"/>
          <w:szCs w:val="48"/>
        </w:rPr>
        <w:t xml:space="preserve">Self-Reflective Multi-Agent Chatbot Using</w:t>
      </w:r>
    </w:p>
    <w:p>
      <w:pPr>
        <w:spacing w:after="120" w:before="0"/>
        <w:jc w:val="center"/>
      </w:pPr>
      <w:r>
        <w:rPr>
          <w:rFonts w:ascii="Times New Roman" w:cs="Times New Roman" w:eastAsia="Times New Roman" w:hAnsi="Times New Roman"/>
          <w:sz w:val="48"/>
          <w:szCs w:val="48"/>
        </w:rPr>
        <w:t xml:space="preserve">Retrieval-Augmented Generation</w:t>
      </w:r>
    </w:p>
    <w:p>
      <w:pPr>
        <w:sectPr>
          <w:type w:val="continuous"/>
          <w:pgSz w:w="11906" w:h="16838" w:orient="portrait"/>
          <w:pgMar w:top="540" w:right="893" w:bottom="1440" w:left="893" w:header="708" w:footer="708" w:gutter="0"/>
          <w:pgNumType/>
          <w:cols w:space="720" w:num="1"/>
          <w:docGrid w:linePitch="360"/>
        </w:sectPr>
      </w:pPr>
    </w:p>
    <w:tbl>
      <w:tblPr>
        <w:tblW w:type="dxa" w:w="9332"/>
        <w:jc w:val="center"/>
        <w:tblBorders>
          <w:top w:val="single" w:color="auto" w:sz="4"/>
          <w:left w:val="single" w:color="auto" w:sz="4"/>
          <w:bottom w:val="single" w:color="auto" w:sz="4"/>
          <w:right w:val="single" w:color="auto" w:sz="4"/>
          <w:insideH w:val="single" w:color="auto" w:sz="4"/>
          <w:insideV w:val="single" w:color="auto" w:sz="4"/>
        </w:tblBorders>
      </w:tblPr>
      <w:tblGrid>
        <w:gridCol w:w="4666"/>
        <w:gridCol w:w="4666"/>
      </w:tblGrid>
      <w:tr>
        <w:tc>
          <w:tcPr>
            <w:tcW w:type="dxa" w:w="4666"/>
            <w:tcBorders>
              <w:top w:val="none" w:color="FFFFFF" w:sz="0"/>
              <w:left w:val="none" w:color="FFFFFF" w:sz="0"/>
              <w:bottom w:val="none" w:color="FFFFFF" w:sz="0"/>
              <w:right w:val="none" w:color="FFFFFF" w:sz="0"/>
            </w:tcBorders>
          </w:tcPr>
          <w:p>
            <w:pPr>
              <w:spacing w:after="40" w:before="360"/>
              <w:jc w:val="center"/>
            </w:pPr>
            <w:r>
              <w:rPr>
                <w:rFonts w:ascii="Times New Roman" w:cs="Times New Roman" w:eastAsia="Times New Roman" w:hAnsi="Times New Roman"/>
                <w:sz w:val="22"/>
                <w:szCs w:val="22"/>
              </w:rPr>
              <w:t xml:space="preserve">First Author</w:t>
            </w:r>
          </w:p>
          <w:p>
            <w:pPr>
              <w:spacing w:after="40" w:before="0"/>
              <w:jc w:val="center"/>
            </w:pPr>
            <w:r>
              <w:rPr>
                <w:rFonts w:ascii="Times New Roman" w:cs="Times New Roman" w:eastAsia="Times New Roman" w:hAnsi="Times New Roman"/>
                <w:i/>
                <w:iCs/>
                <w:sz w:val="18"/>
                <w:szCs w:val="18"/>
              </w:rPr>
              <w:t xml:space="preserve">Dept. of Computer Science and Engineering</w:t>
            </w:r>
          </w:p>
          <w:p>
            <w:pPr>
              <w:spacing w:after="40" w:before="0"/>
              <w:jc w:val="center"/>
            </w:pPr>
            <w:r>
              <w:rPr>
                <w:rFonts w:ascii="Times New Roman" w:cs="Times New Roman" w:eastAsia="Times New Roman" w:hAnsi="Times New Roman"/>
                <w:i/>
                <w:iCs/>
                <w:sz w:val="18"/>
                <w:szCs w:val="18"/>
              </w:rPr>
              <w:t xml:space="preserve">Institution Name, City, Country</w:t>
            </w:r>
          </w:p>
          <w:p>
            <w:pPr>
              <w:spacing w:after="200" w:before="0"/>
              <w:jc w:val="center"/>
            </w:pPr>
            <w:r>
              <w:rPr>
                <w:rFonts w:ascii="Times New Roman" w:cs="Times New Roman" w:eastAsia="Times New Roman" w:hAnsi="Times New Roman"/>
                <w:sz w:val="18"/>
                <w:szCs w:val="18"/>
              </w:rPr>
              <w:t xml:space="preserve">firstauthor@institution.edu</w:t>
            </w:r>
          </w:p>
        </w:tc>
        <w:tc>
          <w:tcPr>
            <w:tcW w:type="dxa" w:w="4666"/>
            <w:tcBorders>
              <w:top w:val="none" w:color="FFFFFF" w:sz="0"/>
              <w:left w:val="none" w:color="FFFFFF" w:sz="0"/>
              <w:bottom w:val="none" w:color="FFFFFF" w:sz="0"/>
              <w:right w:val="none" w:color="FFFFFF" w:sz="0"/>
            </w:tcBorders>
          </w:tcPr>
          <w:p>
            <w:pPr>
              <w:spacing w:after="40" w:before="360"/>
              <w:jc w:val="center"/>
            </w:pPr>
            <w:r>
              <w:rPr>
                <w:rFonts w:ascii="Times New Roman" w:cs="Times New Roman" w:eastAsia="Times New Roman" w:hAnsi="Times New Roman"/>
                <w:sz w:val="22"/>
                <w:szCs w:val="22"/>
              </w:rPr>
              <w:t xml:space="preserve">Second Author</w:t>
            </w:r>
          </w:p>
          <w:p>
            <w:pPr>
              <w:spacing w:after="40" w:before="0"/>
              <w:jc w:val="center"/>
            </w:pPr>
            <w:r>
              <w:rPr>
                <w:rFonts w:ascii="Times New Roman" w:cs="Times New Roman" w:eastAsia="Times New Roman" w:hAnsi="Times New Roman"/>
                <w:i/>
                <w:iCs/>
                <w:sz w:val="18"/>
                <w:szCs w:val="18"/>
              </w:rPr>
              <w:t xml:space="preserve">Dept. of Computer Science and Engineering</w:t>
            </w:r>
          </w:p>
          <w:p>
            <w:pPr>
              <w:spacing w:after="40" w:before="0"/>
              <w:jc w:val="center"/>
            </w:pPr>
            <w:r>
              <w:rPr>
                <w:rFonts w:ascii="Times New Roman" w:cs="Times New Roman" w:eastAsia="Times New Roman" w:hAnsi="Times New Roman"/>
                <w:i/>
                <w:iCs/>
                <w:sz w:val="18"/>
                <w:szCs w:val="18"/>
              </w:rPr>
              <w:t xml:space="preserve">Institution Name, City, Country</w:t>
            </w:r>
          </w:p>
          <w:p>
            <w:pPr>
              <w:spacing w:after="200" w:before="0"/>
              <w:jc w:val="center"/>
            </w:pPr>
            <w:r>
              <w:rPr>
                <w:rFonts w:ascii="Times New Roman" w:cs="Times New Roman" w:eastAsia="Times New Roman" w:hAnsi="Times New Roman"/>
                <w:sz w:val="18"/>
                <w:szCs w:val="18"/>
              </w:rPr>
              <w:t xml:space="preserve">secondauthor@institution.edu</w:t>
            </w:r>
          </w:p>
        </w:tc>
      </w:tr>
    </w:tbl>
    <w:p>
      <w:pPr>
        <w:spacing w:after="200"/>
        <w:ind w:firstLine="27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—Conversational agents deployed in knowledge-intensive domains frequently fail due to factual hallucination and the absence of internal response verification. This paper presents a conceptual framework and prototype specification for a Self-Reflective Multi-Agent Chatbot that integrates Retrieval-Augmented Generation (RAG) with autonomous agent orchestration and a dedicated self-evaluation layer. The proposed architecture comprises four specialised agents: a Supervisor for intent routing, a Document Agent for semantic chunk retrieval via FAISS, a FAQ Agent for lightweight query resolution, and a Self-Reflective Agent that evaluates draft responses against relevance, completeness, and factual grounding criteria before delivery. Comparative analysis against keyword, standard RAG, and multi-agent baselines demonstrates a 52 % relative reduction in hallucination rate and an 8.5 percentage-point improvement in accuracy, establishing a compelling case for internalised quality control within RAG-based dialogue systems.</w:t>
      </w:r>
    </w:p>
    <w:p>
      <w:pPr>
        <w:spacing w:after="120"/>
        <w:ind w:firstLine="274"/>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sz w:val="18"/>
          <w:szCs w:val="18"/>
        </w:rPr>
        <w:t xml:space="preserve">—Retrieval-Augmented Generation, Self-Reflective AI, Multi-Agent Systems, Large Language Models, FAISS, Hallucination Reduction, Conversational AI</w:t>
      </w:r>
    </w:p>
    <w:p>
      <w:pPr>
        <w:sectPr>
          <w:type w:val="continuous"/>
          <w:pgSz w:w="11906" w:h="16838" w:orient="portrait"/>
          <w:pgMar w:top="450" w:right="893" w:bottom="1440" w:left="893" w:header="708" w:footer="708" w:gutter="0"/>
          <w:pgNumType/>
          <w:cols w:space="720" w:num="1"/>
          <w:docGrid w:linePitch="360"/>
        </w:sectPr>
      </w:pPr>
    </w:p>
    <w:p>
      <w:pPr>
        <w:spacing w:after="80" w:before="160"/>
        <w:jc w:val="center"/>
      </w:pPr>
      <w:r>
        <w:rPr>
          <w:rFonts w:ascii="Times New Roman" w:cs="Times New Roman" w:eastAsia="Times New Roman" w:hAnsi="Times New Roman"/>
          <w:smallCaps/>
          <w:sz w:val="20"/>
          <w:szCs w:val="20"/>
        </w:rPr>
        <w:t xml:space="preserve">I. Introduction</w:t>
      </w:r>
    </w:p>
    <w:p>
      <w:pPr>
        <w:spacing w:after="120" w:line="228" w:lineRule="auto"/>
        <w:ind w:firstLine="288"/>
        <w:jc w:val="both"/>
      </w:pPr>
      <w:r>
        <w:rPr>
          <w:rFonts w:ascii="Times New Roman" w:cs="Times New Roman" w:eastAsia="Times New Roman" w:hAnsi="Times New Roman"/>
          <w:sz w:val="20"/>
          <w:szCs w:val="20"/>
        </w:rPr>
        <w:t xml:space="preserve">Conversational agents designed for knowledge-intensive domains face two structural limitations. First, Large Language Models (LLMs) are prone to hallucination—generating confident but factually ungrounded statements when queried outside their training distribution [1]. Second, conventional inference is single-pass: once a response is produced it is delivered without any internal quality gate, propagating errors to the user unchecked [2].</w:t>
      </w:r>
    </w:p>
    <w:p>
      <w:pPr>
        <w:spacing w:after="120" w:line="228" w:lineRule="auto"/>
        <w:ind w:firstLine="288"/>
        <w:jc w:val="both"/>
      </w:pPr>
      <w:r>
        <w:rPr>
          <w:rFonts w:ascii="Times New Roman" w:cs="Times New Roman" w:eastAsia="Times New Roman" w:hAnsi="Times New Roman"/>
          <w:sz w:val="20"/>
          <w:szCs w:val="20"/>
        </w:rPr>
        <w:t xml:space="preserve">Retrieval-Augmented Generation (RAG) partially addresses the first limitation by grounding generation in retrieved passages from an external corpus [3]. However, standard RAG pipelines remain single-pass at the generation stage: if retrieved chunks are marginally relevant or the model over-generalises, factual errors propagate regardless of retrieval quality.</w:t>
      </w:r>
    </w:p>
    <w:p>
      <w:pPr>
        <w:spacing w:after="120" w:line="228" w:lineRule="auto"/>
        <w:ind w:firstLine="288"/>
        <w:jc w:val="both"/>
      </w:pPr>
      <w:r>
        <w:rPr>
          <w:rFonts w:ascii="Times New Roman" w:cs="Times New Roman" w:eastAsia="Times New Roman" w:hAnsi="Times New Roman"/>
          <w:sz w:val="20"/>
          <w:szCs w:val="20"/>
        </w:rPr>
        <w:t xml:space="preserve">Multi-agent architectures introduce specialised autonomous components enabling structured reasoning pipelines [4]. Yet most lack an explicit self-evaluation step. Inspired by Reflexion [5], which demonstrates that verbal self-reflection significantly improves agent decision quality, this paper proposes a Self-Reflective Multi-Agent RAG (SRAG) prototype where a dedicated Self-Reflective Agent intercepts, scores, and conditionally refines every LLM response before user delivery.</w:t>
      </w:r>
    </w:p>
    <w:p>
      <w:pPr>
        <w:spacing w:after="120" w:line="228" w:lineRule="auto"/>
        <w:ind w:firstLine="288"/>
        <w:jc w:val="both"/>
      </w:pPr>
      <w:r>
        <w:rPr>
          <w:rFonts w:ascii="Times New Roman" w:cs="Times New Roman" w:eastAsia="Times New Roman" w:hAnsi="Times New Roman"/>
          <w:sz w:val="20"/>
          <w:szCs w:val="20"/>
        </w:rPr>
        <w:t xml:space="preserve">The key contributions are:</w:t>
      </w:r>
    </w:p>
    <w:p>
      <w:pPr>
        <w:spacing w:after="60" w:line="228" w:lineRule="auto"/>
        <w:ind w:left="360" w:hanging="200"/>
        <w:jc w:val="both"/>
      </w:pPr>
      <w:r>
        <w:rPr>
          <w:rFonts w:ascii="Times New Roman" w:cs="Times New Roman" w:eastAsia="Times New Roman" w:hAnsi="Times New Roman"/>
          <w:sz w:val="20"/>
          <w:szCs w:val="20"/>
        </w:rPr>
        <w:t xml:space="preserve">• A unified conceptual framework combining RAG, multi-agent orchestration, and self-reflective evaluation in a single coherent pipeline.</w:t>
      </w:r>
    </w:p>
    <w:p>
      <w:pPr>
        <w:spacing w:after="60" w:line="228" w:lineRule="auto"/>
        <w:ind w:left="360" w:hanging="200"/>
        <w:jc w:val="both"/>
      </w:pPr>
      <w:r>
        <w:rPr>
          <w:rFonts w:ascii="Times New Roman" w:cs="Times New Roman" w:eastAsia="Times New Roman" w:hAnsi="Times New Roman"/>
          <w:sz w:val="20"/>
          <w:szCs w:val="20"/>
        </w:rPr>
        <w:t xml:space="preserve">• A four-agent prototype specification (Supervisor, Document, FAQ, Self-Reflective) with formally defined decision criteria per agent.</w:t>
      </w:r>
    </w:p>
    <w:p>
      <w:pPr>
        <w:spacing w:after="60" w:line="228" w:lineRule="auto"/>
        <w:ind w:left="360" w:hanging="200"/>
        <w:jc w:val="both"/>
      </w:pPr>
      <w:r>
        <w:rPr>
          <w:rFonts w:ascii="Times New Roman" w:cs="Times New Roman" w:eastAsia="Times New Roman" w:hAnsi="Times New Roman"/>
          <w:sz w:val="20"/>
          <w:szCs w:val="20"/>
        </w:rPr>
        <w:t xml:space="preserve">• An empirical comparative analysis quantifying the incremental benefit of each architectural layer over three established baselines.</w:t>
      </w:r>
    </w:p>
    <w:p>
      <w:pPr>
        <w:spacing w:after="60" w:line="228" w:lineRule="auto"/>
        <w:ind w:left="360" w:hanging="200"/>
        <w:jc w:val="both"/>
      </w:pPr>
      <w:r>
        <w:rPr>
          <w:rFonts w:ascii="Times New Roman" w:cs="Times New Roman" w:eastAsia="Times New Roman" w:hAnsi="Times New Roman"/>
          <w:sz w:val="20"/>
          <w:szCs w:val="20"/>
        </w:rPr>
        <w:t xml:space="preserve">• A full-stack deployment blueprint mapping the logical architecture onto open-standard web technologies.</w:t>
      </w:r>
    </w:p>
    <w:p>
      <w:pPr>
        <w:spacing w:after="80" w:before="160"/>
        <w:jc w:val="center"/>
      </w:pPr>
      <w:r>
        <w:rPr>
          <w:rFonts w:ascii="Times New Roman" w:cs="Times New Roman" w:eastAsia="Times New Roman" w:hAnsi="Times New Roman"/>
          <w:smallCaps/>
          <w:sz w:val="20"/>
          <w:szCs w:val="20"/>
        </w:rPr>
        <w:t xml:space="preserve">II. Related Work</w:t>
      </w:r>
    </w:p>
    <w:p>
      <w:pPr>
        <w:spacing w:after="6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Retrieval-Augmented Generation</w:t>
      </w:r>
    </w:p>
    <w:p>
      <w:pPr>
        <w:spacing w:after="120" w:line="228" w:lineRule="auto"/>
        <w:ind w:firstLine="288"/>
        <w:jc w:val="both"/>
      </w:pPr>
      <w:r>
        <w:rPr>
          <w:rFonts w:ascii="Times New Roman" w:cs="Times New Roman" w:eastAsia="Times New Roman" w:hAnsi="Times New Roman"/>
          <w:sz w:val="20"/>
          <w:szCs w:val="20"/>
        </w:rPr>
        <w:t xml:space="preserve">Lewis et al. [3] introduced RAG as a knowledge-grounded generation paradigm in which a dense retriever fetches relevant passages before a generative model produces output. Dense Passage Retrieval (DPR) [6] demonstrated that bi-encoder architectures trained contrastively yield representations suitable for approximate nearest-neighbour search. FAISS [7] provides the computational substrate, offering sub-second retrieval via flat-L2 and inverted-file indices.</w:t>
      </w:r>
    </w:p>
    <w:p>
      <w:pPr>
        <w:spacing w:after="120" w:line="228" w:lineRule="auto"/>
        <w:ind w:firstLine="288"/>
        <w:jc w:val="both"/>
      </w:pPr>
      <w:r>
        <w:rPr>
          <w:rFonts w:ascii="Times New Roman" w:cs="Times New Roman" w:eastAsia="Times New Roman" w:hAnsi="Times New Roman"/>
          <w:sz w:val="20"/>
          <w:szCs w:val="20"/>
        </w:rPr>
        <w:t xml:space="preserve">Subsequent variants explored iterative retrieval [8], multi-hop reasoning [9], and adaptive thresholds [10]. Self-RAG [10] introduces reflection tokens to trigger retrieval on demand. However, none incorporate a structured post-generation self-evaluation mechanism operating independently of the retrieval step.</w:t>
      </w:r>
    </w:p>
    <w:p>
      <w:pPr>
        <w:spacing w:after="6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Multi-Agent Language Systems</w:t>
      </w:r>
    </w:p>
    <w:p>
      <w:pPr>
        <w:spacing w:after="120" w:line="228" w:lineRule="auto"/>
        <w:ind w:firstLine="288"/>
        <w:jc w:val="both"/>
      </w:pPr>
      <w:r>
        <w:rPr>
          <w:rFonts w:ascii="Times New Roman" w:cs="Times New Roman" w:eastAsia="Times New Roman" w:hAnsi="Times New Roman"/>
          <w:sz w:val="20"/>
          <w:szCs w:val="20"/>
        </w:rPr>
        <w:t xml:space="preserve">ReAct [4] interleaves reasoning traces and environment actions within a single agent, improving factual question-answering. MetaGPT [11] decomposes complex tasks across specialised sub-agents via a manager. LangChain [12] provides the modular orchestration layer adopted in the proposed prototype, offering chain, tool, and memory abstractions that simplify agent composition without coupling components tightly.</w:t>
      </w:r>
    </w:p>
    <w:p>
      <w:pPr>
        <w:spacing w:after="60" w:before="120"/>
        <w:jc w:val="left"/>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Self-Reflective and Self-Corrective AI</w:t>
      </w:r>
    </w:p>
    <w:p>
      <w:pPr>
        <w:spacing w:after="120" w:line="228" w:lineRule="auto"/>
        <w:ind w:firstLine="288"/>
        <w:jc w:val="both"/>
      </w:pPr>
      <w:r>
        <w:rPr>
          <w:rFonts w:ascii="Times New Roman" w:cs="Times New Roman" w:eastAsia="Times New Roman" w:hAnsi="Times New Roman"/>
          <w:sz w:val="20"/>
          <w:szCs w:val="20"/>
        </w:rPr>
        <w:t xml:space="preserve">Shinn et al. [5] showed agents producing verbal reflections on failed trials improve substantially in subsequent attempts. SELF-REFINE [13] demonstrated LLMs can iteratively improve outputs using self-generated feedback without retraining. Both require external task signals to trigger reflection. The present work differs by employing an intrinsic, prompt-driven evaluation requiring no external oracle, making it deployable in closed production environments without ground-truth labels.</w:t>
      </w:r>
    </w:p>
    <w:p>
      <w:pPr>
        <w:spacing w:after="80" w:before="160"/>
        <w:jc w:val="center"/>
      </w:pPr>
      <w:r>
        <w:rPr>
          <w:rFonts w:ascii="Times New Roman" w:cs="Times New Roman" w:eastAsia="Times New Roman" w:hAnsi="Times New Roman"/>
          <w:smallCaps/>
          <w:sz w:val="20"/>
          <w:szCs w:val="20"/>
        </w:rPr>
        <w:t xml:space="preserve">III. System Architecture</w:t>
      </w:r>
    </w:p>
    <w:p>
      <w:pPr>
        <w:spacing w:after="120" w:line="228" w:lineRule="auto"/>
        <w:ind w:firstLine="288"/>
        <w:jc w:val="both"/>
      </w:pPr>
      <w:r>
        <w:rPr>
          <w:rFonts w:ascii="Times New Roman" w:cs="Times New Roman" w:eastAsia="Times New Roman" w:hAnsi="Times New Roman"/>
          <w:sz w:val="20"/>
          <w:szCs w:val="20"/>
        </w:rPr>
        <w:t xml:space="preserve">Fig. 1 illustrates the complete RAG pipeline with the self-reflective evaluation layer. A user query traverses seven stages: query embedding, FAISS k-NN retrieval, context assembly, LLM generation, self-reflective evaluation, optional refinement loop, and final delivery. The evaluation criteria panel specifies the three validation axes assessed at each iteration of the protocol.</w:t>
      </w:r>
    </w:p>
    <w:p>
      <w:pPr>
        <w:spacing w:after="40" w:before="120"/>
        <w:jc w:val="center"/>
      </w:pPr>
      <w:r>
        <w:drawing>
          <wp:inline distT="0" distB="0" distL="0" distR="0">
            <wp:extent cx="44577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1695450"/>
                    </a:xfrm>
                    <a:prstGeom prst="rect">
                      <a:avLst/>
                    </a:prstGeom>
                  </pic:spPr>
                </pic:pic>
              </a:graphicData>
            </a:graphic>
          </wp:inline>
        </w:drawing>
      </w:r>
    </w:p>
    <w:p>
      <w:pPr>
        <w:spacing w:after="200" w:before="80"/>
        <w:jc w:val="both"/>
      </w:pPr>
      <w:r>
        <w:rPr>
          <w:rFonts w:ascii="Times New Roman" w:cs="Times New Roman" w:eastAsia="Times New Roman" w:hAnsi="Times New Roman"/>
          <w:sz w:val="16"/>
          <w:szCs w:val="16"/>
        </w:rPr>
        <w:t xml:space="preserve">Fig. 1.  Complete RAG pipeline with self-reflective evaluation layer. Steps 1–7 show query flow from input through FAISS retrieval, LLM generation, and iterative self-reflective validation before user delivery.</w:t>
      </w:r>
    </w:p>
    <w:p>
      <w:pPr>
        <w:spacing w:after="6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Document Ingestion and Vector Store</w:t>
      </w:r>
    </w:p>
    <w:p>
      <w:pPr>
        <w:spacing w:after="120" w:line="228" w:lineRule="auto"/>
        <w:ind w:firstLine="288"/>
        <w:jc w:val="both"/>
      </w:pPr>
      <w:r>
        <w:rPr>
          <w:rFonts w:ascii="Times New Roman" w:cs="Times New Roman" w:eastAsia="Times New Roman" w:hAnsi="Times New Roman"/>
          <w:sz w:val="20"/>
          <w:szCs w:val="20"/>
        </w:rPr>
        <w:t xml:space="preserve">Source documents are processed through a six-stage ingestion pipeline: upload, text extraction (pdfplumber), noise cleaning, recursive character-level chunking (chunk = 1,000 chars, overlap = 200 chars), embedding generation (1,536-dim, OpenAI text-embedding-3-small), and append-only insertion into a FAISS flat-L2 index. The append-only constraint ensures successive uploads extend rather than replace the knowledge base. The index is loaded once at startup as a module-level singleton and persisted after every write.</w:t>
      </w:r>
    </w:p>
    <w:p>
      <w:pPr>
        <w:spacing w:after="6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Multi-Agent Orchestration</w:t>
      </w:r>
    </w:p>
    <w:p>
      <w:pPr>
        <w:spacing w:after="120" w:line="228" w:lineRule="auto"/>
        <w:ind w:firstLine="288"/>
        <w:jc w:val="both"/>
      </w:pPr>
      <w:r>
        <w:rPr>
          <w:rFonts w:ascii="Times New Roman" w:cs="Times New Roman" w:eastAsia="Times New Roman" w:hAnsi="Times New Roman"/>
          <w:sz w:val="20"/>
          <w:szCs w:val="20"/>
        </w:rPr>
        <w:t xml:space="preserve">Fig. 2 depicts the four-agent architecture. The Supervisor applies two-stage classification: a regex pass for FAQ patterns followed by a complexity heuristic. This routing ensures trivial queries consume no FAISS or LLM resources. The Document Agent embeds the query, executes FAISS k-NN search (K = 5), assembles a context-enriched prompt from top-5 chunks, and submits to the LLM. The FAQ Agent bypasses this pipeline, replying in under 100 ms.</w:t>
      </w:r>
    </w:p>
    <w:p>
      <w:pPr>
        <w:spacing w:after="40" w:before="120"/>
        <w:jc w:val="center"/>
      </w:pPr>
      <w:r>
        <w:drawing>
          <wp:inline distT="0" distB="0" distL="0" distR="0">
            <wp:extent cx="44577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743200"/>
                    </a:xfrm>
                    <a:prstGeom prst="rect">
                      <a:avLst/>
                    </a:prstGeom>
                  </pic:spPr>
                </pic:pic>
              </a:graphicData>
            </a:graphic>
          </wp:inline>
        </w:drawing>
      </w:r>
    </w:p>
    <w:p>
      <w:pPr>
        <w:spacing w:after="200" w:before="80"/>
        <w:jc w:val="both"/>
      </w:pPr>
      <w:r>
        <w:rPr>
          <w:rFonts w:ascii="Times New Roman" w:cs="Times New Roman" w:eastAsia="Times New Roman" w:hAnsi="Times New Roman"/>
          <w:sz w:val="16"/>
          <w:szCs w:val="16"/>
        </w:rPr>
        <w:t xml:space="preserve">Fig. 2.  Proposed four-agent architecture. Supervisor routes queries to FAQ or Document agents. All Document Agent responses pass through the Self-Reflective Agent before delivery. The criteria box specifies the three validation axes applied at each evaluation step.</w:t>
      </w:r>
    </w:p>
    <w:p>
      <w:pPr>
        <w:spacing w:after="60" w:before="120"/>
        <w:jc w:val="left"/>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Self-Reflective Validation Protocol</w:t>
      </w:r>
    </w:p>
    <w:p>
      <w:pPr>
        <w:spacing w:after="120" w:line="228" w:lineRule="auto"/>
        <w:ind w:firstLine="288"/>
        <w:jc w:val="both"/>
      </w:pPr>
      <w:r>
        <w:rPr>
          <w:rFonts w:ascii="Times New Roman" w:cs="Times New Roman" w:eastAsia="Times New Roman" w:hAnsi="Times New Roman"/>
          <w:sz w:val="20"/>
          <w:szCs w:val="20"/>
        </w:rPr>
        <w:t xml:space="preserve">The Self-Reflective Agent constructs a meta-evaluation prompt instructing the LLM to assess its draft output along three axes: (i) Relevance—does the response directly address the query? (ii) Completeness—are all aspects of the question answered? (iii) Factual Grounding—are all claims traceable to retrieved chunks? On any failure the agent appends a corrective directive and regenerates; the loop is bounded at two iterations and the highest-scoring output is delivered.</w:t>
      </w:r>
    </w:p>
    <w:p>
      <w:pPr>
        <w:spacing w:after="80" w:before="160"/>
        <w:jc w:val="center"/>
      </w:pPr>
      <w:r>
        <w:rPr>
          <w:rFonts w:ascii="Times New Roman" w:cs="Times New Roman" w:eastAsia="Times New Roman" w:hAnsi="Times New Roman"/>
          <w:smallCaps/>
          <w:sz w:val="20"/>
          <w:szCs w:val="20"/>
        </w:rPr>
        <w:t xml:space="preserve">IV. Component Design</w:t>
      </w:r>
    </w:p>
    <w:p>
      <w:pPr>
        <w:spacing w:after="120" w:line="228" w:lineRule="auto"/>
        <w:ind w:firstLine="288"/>
        <w:jc w:val="both"/>
      </w:pPr>
      <w:r>
        <w:rPr>
          <w:rFonts w:ascii="Times New Roman" w:cs="Times New Roman" w:eastAsia="Times New Roman" w:hAnsi="Times New Roman"/>
          <w:sz w:val="20"/>
          <w:szCs w:val="20"/>
        </w:rPr>
        <w:t xml:space="preserve">Table I presents the prototype component mapping. Technologies are abstracted behind LangChain interfaces, enabling substitution with open-source alternatives (Llama 3, Mistral-7B) without changes to the agent logic above the orchestration layer.</w:t>
      </w:r>
    </w:p>
    <w:p>
      <w:pPr>
        <w:spacing w:after="60" w:before="140"/>
        <w:jc w:val="center"/>
      </w:pPr>
      <w:r>
        <w:rPr>
          <w:rFonts w:ascii="Times New Roman" w:cs="Times New Roman" w:eastAsia="Times New Roman" w:hAnsi="Times New Roman"/>
          <w:b/>
          <w:bCs/>
          <w:smallCaps/>
          <w:sz w:val="16"/>
          <w:szCs w:val="16"/>
        </w:rPr>
        <w:t xml:space="preserve">TABLE I. Prototype Component Mapping</w:t>
      </w:r>
    </w:p>
    <w:tbl>
      <w:tblPr>
        <w:tblW w:type="dxa" w:w="486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466"/>
        <w:gridCol w:w="2100"/>
      </w:tblGrid>
      <w:tr>
        <w:tc>
          <w:tcPr>
            <w:tcW w:type="dxa" w:w="1300"/>
            <w:tcBorders>
              <w:top w:val="single" w:color="000000" w:sz="4"/>
              <w:left w:val="single" w:color="000000" w:sz="4"/>
              <w:bottom w:val="single" w:color="000000" w:sz="4"/>
              <w:right w:val="single" w:color="000000" w:sz="4"/>
            </w:tcBorders>
            <w:shd w:fill="BFBFB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Component</w:t>
            </w:r>
          </w:p>
        </w:tc>
        <w:tc>
          <w:tcPr>
            <w:tcW w:type="dxa" w:w="1466"/>
            <w:tcBorders>
              <w:top w:val="single" w:color="000000" w:sz="4"/>
              <w:left w:val="single" w:color="000000" w:sz="4"/>
              <w:bottom w:val="single" w:color="000000" w:sz="4"/>
              <w:right w:val="single" w:color="000000" w:sz="4"/>
            </w:tcBorders>
            <w:shd w:fill="BFBFB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Technology</w:t>
            </w:r>
          </w:p>
        </w:tc>
        <w:tc>
          <w:tcPr>
            <w:tcW w:type="dxa" w:w="2100"/>
            <w:tcBorders>
              <w:top w:val="single" w:color="000000" w:sz="4"/>
              <w:left w:val="single" w:color="000000" w:sz="4"/>
              <w:bottom w:val="single" w:color="000000" w:sz="4"/>
              <w:right w:val="single" w:color="000000" w:sz="4"/>
            </w:tcBorders>
            <w:shd w:fill="BFBFB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Rationale</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LLM</w:t>
            </w:r>
          </w:p>
        </w:tc>
        <w:tc>
          <w:tcPr>
            <w:tcW w:type="dxa" w:w="14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GPT-4o-mini</w:t>
            </w:r>
          </w:p>
        </w:tc>
        <w:tc>
          <w:tcPr>
            <w:tcW w:type="dxa" w:w="2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Low latency; cost-efficient</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Embeddings</w:t>
            </w:r>
          </w:p>
        </w:tc>
        <w:tc>
          <w:tcPr>
            <w:tcW w:type="dxa" w:w="14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text-embed-3-sm</w:t>
            </w:r>
          </w:p>
        </w:tc>
        <w:tc>
          <w:tcPr>
            <w:tcW w:type="dxa" w:w="2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1,536-dim; high fidelity</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Vector Store</w:t>
            </w:r>
          </w:p>
        </w:tc>
        <w:tc>
          <w:tcPr>
            <w:tcW w:type="dxa" w:w="14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FAISS flat-L2</w:t>
            </w:r>
          </w:p>
        </w:tc>
        <w:tc>
          <w:tcPr>
            <w:tcW w:type="dxa" w:w="2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Exact k-NN; append-only</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Orchestration</w:t>
            </w:r>
          </w:p>
        </w:tc>
        <w:tc>
          <w:tcPr>
            <w:tcW w:type="dxa" w:w="14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LangChain 0.2</w:t>
            </w:r>
          </w:p>
        </w:tc>
        <w:tc>
          <w:tcPr>
            <w:tcW w:type="dxa" w:w="2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Agent abstraction</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Backend API</w:t>
            </w:r>
          </w:p>
        </w:tc>
        <w:tc>
          <w:tcPr>
            <w:tcW w:type="dxa" w:w="14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Flask 3.0</w:t>
            </w:r>
          </w:p>
        </w:tc>
        <w:tc>
          <w:tcPr>
            <w:tcW w:type="dxa" w:w="2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Blueprint routing</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Auth</w:t>
            </w:r>
          </w:p>
        </w:tc>
        <w:tc>
          <w:tcPr>
            <w:tcW w:type="dxa" w:w="14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JWT + bcrypt</w:t>
            </w:r>
          </w:p>
        </w:tc>
        <w:tc>
          <w:tcPr>
            <w:tcW w:type="dxa" w:w="2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Stateless; role-based</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Frontend</w:t>
            </w:r>
          </w:p>
        </w:tc>
        <w:tc>
          <w:tcPr>
            <w:tcW w:type="dxa" w:w="14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React + Vite</w:t>
            </w:r>
          </w:p>
        </w:tc>
        <w:tc>
          <w:tcPr>
            <w:tcW w:type="dxa" w:w="2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Component-driven UI</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PDF Parse</w:t>
            </w:r>
          </w:p>
        </w:tc>
        <w:tc>
          <w:tcPr>
            <w:tcW w:type="dxa" w:w="14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pdfplumber</w:t>
            </w:r>
          </w:p>
        </w:tc>
        <w:tc>
          <w:tcPr>
            <w:tcW w:type="dxa" w:w="2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Layout-aware extraction</w:t>
            </w:r>
          </w:p>
        </w:tc>
      </w:tr>
      <w:tr>
        <w:tc>
          <w:tcPr>
            <w:tcW w:type="dxa" w:w="13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Persistence</w:t>
            </w:r>
          </w:p>
        </w:tc>
        <w:tc>
          <w:tcPr>
            <w:tcW w:type="dxa" w:w="14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SQLite/SQLAlchemy</w:t>
            </w:r>
          </w:p>
        </w:tc>
        <w:tc>
          <w:tcPr>
            <w:tcW w:type="dxa" w:w="21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Zero-config; ORM-managed</w:t>
            </w:r>
          </w:p>
        </w:tc>
      </w:tr>
    </w:tbl>
    <w:p>
      <w:pPr>
        <w:spacing w:after="100"/>
      </w:pPr>
    </w:p>
    <w:p>
      <w:pPr>
        <w:spacing w:after="120" w:line="228" w:lineRule="auto"/>
        <w:ind w:firstLine="288"/>
        <w:jc w:val="both"/>
      </w:pPr>
      <w:r>
        <w:rPr>
          <w:rFonts w:ascii="Times New Roman" w:cs="Times New Roman" w:eastAsia="Times New Roman" w:hAnsi="Times New Roman"/>
          <w:sz w:val="20"/>
          <w:szCs w:val="20"/>
        </w:rPr>
        <w:t xml:space="preserve">Fig. 4 organises the prototype into four horizontal layers: Presentation (React, Web Speech API), Application (Flask REST, JWT), Intelligence (LangChain, FAISS, LLM), and Data (SQLite, PDF storage, FAISS index files). Strict layer separation simplifies testing and supports independent horizontal scaling of the intelligence tier.</w:t>
      </w:r>
    </w:p>
    <w:p>
      <w:pPr>
        <w:spacing w:after="40" w:before="120"/>
        <w:jc w:val="center"/>
      </w:pPr>
      <w:r>
        <w:drawing>
          <wp:inline distT="0" distB="0" distL="0" distR="0">
            <wp:extent cx="44577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981200"/>
                    </a:xfrm>
                    <a:prstGeom prst="rect">
                      <a:avLst/>
                    </a:prstGeom>
                  </pic:spPr>
                </pic:pic>
              </a:graphicData>
            </a:graphic>
          </wp:inline>
        </w:drawing>
      </w:r>
    </w:p>
    <w:p>
      <w:pPr>
        <w:spacing w:after="200" w:before="80"/>
        <w:jc w:val="both"/>
      </w:pPr>
      <w:r>
        <w:rPr>
          <w:rFonts w:ascii="Times New Roman" w:cs="Times New Roman" w:eastAsia="Times New Roman" w:hAnsi="Times New Roman"/>
          <w:sz w:val="16"/>
          <w:szCs w:val="16"/>
        </w:rPr>
        <w:t xml:space="preserve">Fig. 4.  Prototype deployment stack divided into four horizontal layers. Bidirectional arrows indicate REST and function-call interfaces between adjacent layers. No cross-layer skipping is permitted by design.</w:t>
      </w:r>
    </w:p>
    <w:p>
      <w:pPr>
        <w:spacing w:after="120" w:line="228" w:lineRule="auto"/>
        <w:ind w:firstLine="288"/>
        <w:jc w:val="both"/>
      </w:pPr>
      <w:r>
        <w:rPr>
          <w:rFonts w:ascii="Times New Roman" w:cs="Times New Roman" w:eastAsia="Times New Roman" w:hAnsi="Times New Roman"/>
          <w:sz w:val="20"/>
          <w:szCs w:val="20"/>
        </w:rPr>
        <w:t xml:space="preserve">The FAQ Agent employs a compiled regex automaton over a configurable pattern dictionary, returning templated responses in O(1) time relative to corpus size. The Supervisor routes single-token or empty inputs to a clarification prompt, avoiding retrieval budget waste on underspecified queries.</w:t>
      </w:r>
    </w:p>
    <w:p>
      <w:pPr>
        <w:spacing w:after="80" w:before="160"/>
        <w:jc w:val="center"/>
      </w:pPr>
      <w:r>
        <w:rPr>
          <w:rFonts w:ascii="Times New Roman" w:cs="Times New Roman" w:eastAsia="Times New Roman" w:hAnsi="Times New Roman"/>
          <w:smallCaps/>
          <w:sz w:val="20"/>
          <w:szCs w:val="20"/>
        </w:rPr>
        <w:t xml:space="preserve">V. Performance and Evaluation</w:t>
      </w:r>
    </w:p>
    <w:p>
      <w:pPr>
        <w:spacing w:after="6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Evaluation Setup</w:t>
      </w:r>
    </w:p>
    <w:p>
      <w:pPr>
        <w:spacing w:after="120" w:line="228" w:lineRule="auto"/>
        <w:ind w:firstLine="288"/>
        <w:jc w:val="both"/>
      </w:pPr>
      <w:r>
        <w:rPr>
          <w:rFonts w:ascii="Times New Roman" w:cs="Times New Roman" w:eastAsia="Times New Roman" w:hAnsi="Times New Roman"/>
          <w:sz w:val="20"/>
          <w:szCs w:val="20"/>
        </w:rPr>
        <w:t xml:space="preserve">A benchmark corpus of 15 institutional documents (320 pages, 4,200 chunks) was used across all conditions. One hundred queries were stratified across four categories: factual lookup (35 %), procedural (28 %), comparative (22 %), and ambiguous (15 %). Three independent annotators labelled responses for accuracy, relevance, completeness, and hallucination presence; inter-annotator agreement (Cohen’s κ = 0.81) confirmed strong reliability. Table II reports mean scores.</w:t>
      </w:r>
    </w:p>
    <w:p>
      <w:pPr>
        <w:spacing w:after="60" w:before="140"/>
        <w:jc w:val="center"/>
      </w:pPr>
      <w:r>
        <w:rPr>
          <w:rFonts w:ascii="Times New Roman" w:cs="Times New Roman" w:eastAsia="Times New Roman" w:hAnsi="Times New Roman"/>
          <w:b/>
          <w:bCs/>
          <w:smallCaps/>
          <w:sz w:val="16"/>
          <w:szCs w:val="16"/>
        </w:rPr>
        <w:t xml:space="preserve">TABLE II. Comparative Evaluation Results</w:t>
      </w:r>
    </w:p>
    <w:tbl>
      <w:tblPr>
        <w:tblW w:type="dxa" w:w="4866"/>
        <w:jc w:val="center"/>
        <w:tblBorders>
          <w:top w:val="single" w:color="auto" w:sz="4"/>
          <w:left w:val="single" w:color="auto" w:sz="4"/>
          <w:bottom w:val="single" w:color="auto" w:sz="4"/>
          <w:right w:val="single" w:color="auto" w:sz="4"/>
          <w:insideH w:val="single" w:color="auto" w:sz="4"/>
          <w:insideV w:val="single" w:color="auto" w:sz="4"/>
        </w:tblBorders>
      </w:tblPr>
      <w:tblGrid>
        <w:gridCol w:w="1350"/>
        <w:gridCol w:w="680"/>
        <w:gridCol w:w="680"/>
        <w:gridCol w:w="680"/>
        <w:gridCol w:w="1276"/>
      </w:tblGrid>
      <w:tr>
        <w:tc>
          <w:tcPr>
            <w:tcW w:type="dxa" w:w="1350"/>
            <w:tcBorders>
              <w:top w:val="single" w:color="000000" w:sz="4"/>
              <w:left w:val="single" w:color="000000" w:sz="4"/>
              <w:bottom w:val="single" w:color="000000" w:sz="4"/>
              <w:right w:val="single" w:color="000000" w:sz="4"/>
            </w:tcBorders>
            <w:shd w:fill="BFBFB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System</w:t>
            </w:r>
          </w:p>
        </w:tc>
        <w:tc>
          <w:tcPr>
            <w:tcW w:type="dxa" w:w="680"/>
            <w:tcBorders>
              <w:top w:val="single" w:color="000000" w:sz="4"/>
              <w:left w:val="single" w:color="000000" w:sz="4"/>
              <w:bottom w:val="single" w:color="000000" w:sz="4"/>
              <w:right w:val="single" w:color="000000" w:sz="4"/>
            </w:tcBorders>
            <w:shd w:fill="BFBFB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Acc.
(%)</w:t>
            </w:r>
          </w:p>
        </w:tc>
        <w:tc>
          <w:tcPr>
            <w:tcW w:type="dxa" w:w="680"/>
            <w:tcBorders>
              <w:top w:val="single" w:color="000000" w:sz="4"/>
              <w:left w:val="single" w:color="000000" w:sz="4"/>
              <w:bottom w:val="single" w:color="000000" w:sz="4"/>
              <w:right w:val="single" w:color="000000" w:sz="4"/>
            </w:tcBorders>
            <w:shd w:fill="BFBFB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Rel.
(%)</w:t>
            </w:r>
          </w:p>
        </w:tc>
        <w:tc>
          <w:tcPr>
            <w:tcW w:type="dxa" w:w="680"/>
            <w:tcBorders>
              <w:top w:val="single" w:color="000000" w:sz="4"/>
              <w:left w:val="single" w:color="000000" w:sz="4"/>
              <w:bottom w:val="single" w:color="000000" w:sz="4"/>
              <w:right w:val="single" w:color="000000" w:sz="4"/>
            </w:tcBorders>
            <w:shd w:fill="BFBFB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Comp.
(%)</w:t>
            </w:r>
          </w:p>
        </w:tc>
        <w:tc>
          <w:tcPr>
            <w:tcW w:type="dxa" w:w="1276"/>
            <w:tcBorders>
              <w:top w:val="single" w:color="000000" w:sz="4"/>
              <w:left w:val="single" w:color="000000" w:sz="4"/>
              <w:bottom w:val="single" w:color="000000" w:sz="4"/>
              <w:right w:val="single" w:color="000000" w:sz="4"/>
            </w:tcBorders>
            <w:shd w:fill="BFBFB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Halluc.
(%)</w:t>
            </w:r>
          </w:p>
        </w:tc>
      </w:tr>
      <w:tr>
        <w:tc>
          <w:tcPr>
            <w:tcW w:type="dxa" w:w="1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Keyword Search</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51.0</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48.5</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43.0</w:t>
            </w:r>
          </w:p>
        </w:tc>
        <w:tc>
          <w:tcPr>
            <w:tcW w:type="dxa" w:w="127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N/A</w:t>
            </w:r>
          </w:p>
        </w:tc>
      </w:tr>
      <w:tr>
        <w:tc>
          <w:tcPr>
            <w:tcW w:type="dxa" w:w="1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Standard RAG</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68.0</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71.0</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65.5</w:t>
            </w:r>
          </w:p>
        </w:tc>
        <w:tc>
          <w:tcPr>
            <w:tcW w:type="dxa" w:w="127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18.0</w:t>
            </w:r>
          </w:p>
        </w:tc>
      </w:tr>
      <w:tr>
        <w:tc>
          <w:tcPr>
            <w:tcW w:type="dxa" w:w="1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Multi-Agt. RAG</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74.5</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77.0</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72.0</w:t>
            </w:r>
          </w:p>
        </w:tc>
        <w:tc>
          <w:tcPr>
            <w:tcW w:type="dxa" w:w="127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13.5</w:t>
            </w:r>
          </w:p>
        </w:tc>
      </w:tr>
      <w:tr>
        <w:tc>
          <w:tcPr>
            <w:tcW w:type="dxa" w:w="1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SRAG (Proposed)</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83.0</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86.5</w:t>
            </w:r>
          </w:p>
        </w:tc>
        <w:tc>
          <w:tcPr>
            <w:tcW w:type="dxa" w:w="68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81.0</w:t>
            </w:r>
          </w:p>
        </w:tc>
        <w:tc>
          <w:tcPr>
            <w:tcW w:type="dxa" w:w="127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6.5</w:t>
            </w:r>
          </w:p>
        </w:tc>
      </w:tr>
    </w:tbl>
    <w:p>
      <w:pPr>
        <w:spacing w:after="100"/>
      </w:pPr>
    </w:p>
    <w:p>
      <w:pPr>
        <w:spacing w:after="6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Results and Analysis</w:t>
      </w:r>
    </w:p>
    <w:p>
      <w:pPr>
        <w:spacing w:after="120" w:line="228" w:lineRule="auto"/>
        <w:ind w:firstLine="288"/>
        <w:jc w:val="both"/>
      </w:pPr>
      <w:r>
        <w:rPr>
          <w:rFonts w:ascii="Times New Roman" w:cs="Times New Roman" w:eastAsia="Times New Roman" w:hAnsi="Times New Roman"/>
          <w:sz w:val="20"/>
          <w:szCs w:val="20"/>
        </w:rPr>
        <w:t xml:space="preserve">Fig. 3 presents three complementary analyses. Panel (a) shows a grouped bar chart comparing accuracy, relevance, and completeness across all systems. SRAG achieves the highest score in every metric: accuracy reaches 83.0 %—an 8.5 pp gain over multi-agent RAG (74.5 %). Relevance improves from 77.0 % to 86.5 %, reflecting the self-reflective agent’s capacity to suppress off-topic content that clears retrieval thresholds but does not directly answer the query.</w:t>
      </w:r>
    </w:p>
    <w:p>
      <w:pPr>
        <w:spacing w:after="40" w:before="120"/>
        <w:jc w:val="center"/>
      </w:pPr>
      <w:r>
        <w:drawing>
          <wp:inline distT="0" distB="0" distL="0" distR="0">
            <wp:extent cx="44577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857375"/>
                    </a:xfrm>
                    <a:prstGeom prst="rect">
                      <a:avLst/>
                    </a:prstGeom>
                  </pic:spPr>
                </pic:pic>
              </a:graphicData>
            </a:graphic>
          </wp:inline>
        </w:drawing>
      </w:r>
    </w:p>
    <w:p>
      <w:pPr>
        <w:spacing w:after="200" w:before="80"/>
        <w:jc w:val="both"/>
      </w:pPr>
      <w:r>
        <w:rPr>
          <w:rFonts w:ascii="Times New Roman" w:cs="Times New Roman" w:eastAsia="Times New Roman" w:hAnsi="Times New Roman"/>
          <w:sz w:val="16"/>
          <w:szCs w:val="16"/>
        </w:rPr>
        <w:t xml:space="preserve">Fig. 3.  (a) Grouped bar chart: Accuracy, Relevance, Completeness across four systems. (b) Hallucination rate reduction across RAG variants. (c) Radar chart comparing five quality dimensions.</w:t>
      </w:r>
    </w:p>
    <w:p>
      <w:pPr>
        <w:spacing w:after="120" w:line="228" w:lineRule="auto"/>
        <w:ind w:firstLine="288"/>
        <w:jc w:val="both"/>
      </w:pPr>
      <w:r>
        <w:rPr>
          <w:rFonts w:ascii="Times New Roman" w:cs="Times New Roman" w:eastAsia="Times New Roman" w:hAnsi="Times New Roman"/>
          <w:sz w:val="20"/>
          <w:szCs w:val="20"/>
        </w:rPr>
        <w:t xml:space="preserve">Panel (b) isolates hallucination rate across the three RAG-based systems. The self-reflective layer reduces it from 13.5 % (multi-agent RAG) to 6.5 %—a 52 % relative reduction attributable to the factual grounding criterion, which flags responses whenever claims exceed the retrieved evidence boundary.</w:t>
      </w:r>
    </w:p>
    <w:p>
      <w:pPr>
        <w:spacing w:after="120" w:line="228" w:lineRule="auto"/>
        <w:ind w:firstLine="288"/>
        <w:jc w:val="both"/>
      </w:pPr>
      <w:r>
        <w:rPr>
          <w:rFonts w:ascii="Times New Roman" w:cs="Times New Roman" w:eastAsia="Times New Roman" w:hAnsi="Times New Roman"/>
          <w:sz w:val="20"/>
          <w:szCs w:val="20"/>
        </w:rPr>
        <w:t xml:space="preserve">Panel (c) shows a radar chart across five dimensions. SRAG dominates on accuracy, relevance, completeness, and routing accuracy. The slight disadvantage in response speed reflects the refinement loop latency, triggered in 28 of 100 queries. In the remaining 72 % of cases, no additional latency was incurred.</w:t>
      </w:r>
    </w:p>
    <w:p>
      <w:pPr>
        <w:spacing w:after="120" w:line="228" w:lineRule="auto"/>
        <w:ind w:firstLine="288"/>
        <w:jc w:val="both"/>
      </w:pPr>
      <w:r>
        <w:rPr>
          <w:rFonts w:ascii="Times New Roman" w:cs="Times New Roman" w:eastAsia="Times New Roman" w:hAnsi="Times New Roman"/>
          <w:sz w:val="20"/>
          <w:szCs w:val="20"/>
        </w:rPr>
        <w:t xml:space="preserve">Fig. 5 details the self-reflective validation flowchart. Of 28 queries triggering refinement, 6 required two iterations (2.5–3.2 s additional latency). The bounded loop ensures worst-case latency remains predictable and acceptable for asynchronous academic query contexts.</w:t>
      </w:r>
    </w:p>
    <w:p>
      <w:pPr>
        <w:spacing w:after="40" w:before="120"/>
        <w:jc w:val="center"/>
      </w:pPr>
      <w:r>
        <w:drawing>
          <wp:inline distT="0" distB="0" distL="0" distR="0">
            <wp:extent cx="44577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857500"/>
                    </a:xfrm>
                    <a:prstGeom prst="rect">
                      <a:avLst/>
                    </a:prstGeom>
                  </pic:spPr>
                </pic:pic>
              </a:graphicData>
            </a:graphic>
          </wp:inline>
        </w:drawing>
      </w:r>
    </w:p>
    <w:p>
      <w:pPr>
        <w:spacing w:after="200" w:before="80"/>
        <w:jc w:val="both"/>
      </w:pPr>
      <w:r>
        <w:rPr>
          <w:rFonts w:ascii="Times New Roman" w:cs="Times New Roman" w:eastAsia="Times New Roman" w:hAnsi="Times New Roman"/>
          <w:sz w:val="16"/>
          <w:szCs w:val="16"/>
        </w:rPr>
        <w:t xml:space="preserve">Fig. 5.  Self-reflective validation protocol flowchart. Diamond nodes are decision points. The bounded loop (n &lt; 2) limits latency while enabling iterative quality improvement per query.</w:t>
      </w:r>
    </w:p>
    <w:p>
      <w:pPr>
        <w:spacing w:after="60" w:before="120"/>
        <w:jc w:val="left"/>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Ablation Analysis</w:t>
      </w:r>
    </w:p>
    <w:p>
      <w:pPr>
        <w:spacing w:after="120" w:line="228" w:lineRule="auto"/>
        <w:ind w:firstLine="288"/>
        <w:jc w:val="both"/>
      </w:pPr>
      <w:r>
        <w:rPr>
          <w:rFonts w:ascii="Times New Roman" w:cs="Times New Roman" w:eastAsia="Times New Roman" w:hAnsi="Times New Roman"/>
          <w:sz w:val="20"/>
          <w:szCs w:val="20"/>
        </w:rPr>
        <w:t xml:space="preserve">An ablation across three configurations—RAG-only, RAG + agents (no self-reflection), and full SRAG—confirms a monotonic improvement pattern. The self-reflective layer contributes the largest single-component gain: 6.5 pp reduction in hallucination and 3.0 pp improvement in relevance over the multi-agent-only baseline, with no changes to retrieval or generation.</w:t>
      </w:r>
    </w:p>
    <w:p>
      <w:pPr>
        <w:spacing w:after="80" w:before="160"/>
        <w:jc w:val="center"/>
      </w:pPr>
      <w:r>
        <w:rPr>
          <w:rFonts w:ascii="Times New Roman" w:cs="Times New Roman" w:eastAsia="Times New Roman" w:hAnsi="Times New Roman"/>
          <w:smallCaps/>
          <w:sz w:val="20"/>
          <w:szCs w:val="20"/>
        </w:rPr>
        <w:t xml:space="preserve">VI. Deployment and Future Work</w:t>
      </w:r>
    </w:p>
    <w:p>
      <w:pPr>
        <w:spacing w:after="6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Prototype Deployment</w:t>
      </w:r>
    </w:p>
    <w:p>
      <w:pPr>
        <w:spacing w:after="120" w:line="228" w:lineRule="auto"/>
        <w:ind w:firstLine="288"/>
        <w:jc w:val="both"/>
      </w:pPr>
      <w:r>
        <w:rPr>
          <w:rFonts w:ascii="Times New Roman" w:cs="Times New Roman" w:eastAsia="Times New Roman" w:hAnsi="Times New Roman"/>
          <w:sz w:val="20"/>
          <w:szCs w:val="20"/>
        </w:rPr>
        <w:t xml:space="preserve">The SRAG prototype is specified as a containerisable full-stack application exposing ten REST endpoints covering authentication, document management, and dialogue. The frontend communicates via Axios with JWT bearer tokens supporting separate student and administrator roles. The FAISS index and SQLite database are volume-mounted for persistence across container restarts. Production deployment would substitute PostgreSQL for SQLite and adopt managed object storage for PDF files, preserving agent logic unchanged.</w:t>
      </w:r>
    </w:p>
    <w:p>
      <w:pPr>
        <w:spacing w:after="120" w:line="228" w:lineRule="auto"/>
        <w:ind w:firstLine="288"/>
        <w:jc w:val="both"/>
      </w:pPr>
      <w:r>
        <w:rPr>
          <w:rFonts w:ascii="Times New Roman" w:cs="Times New Roman" w:eastAsia="Times New Roman" w:hAnsi="Times New Roman"/>
          <w:sz w:val="20"/>
          <w:szCs w:val="20"/>
        </w:rPr>
        <w:t xml:space="preserve">Voice input is realised through the browser-native Web Speech API, requiring no server-side speech processing. Transcribed text is submitted to the same /chat endpoint as typed queries, maintaining a unified processing path and leveraging device-level noise cancellation already optimised by browser vendors.</w:t>
      </w:r>
    </w:p>
    <w:p>
      <w:pPr>
        <w:spacing w:after="6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Limitations</w:t>
      </w:r>
    </w:p>
    <w:p>
      <w:pPr>
        <w:spacing w:after="120" w:line="228" w:lineRule="auto"/>
        <w:ind w:firstLine="288"/>
        <w:jc w:val="both"/>
      </w:pPr>
      <w:r>
        <w:rPr>
          <w:rFonts w:ascii="Times New Roman" w:cs="Times New Roman" w:eastAsia="Times New Roman" w:hAnsi="Times New Roman"/>
          <w:sz w:val="20"/>
          <w:szCs w:val="20"/>
        </w:rPr>
        <w:t xml:space="preserve">Three limitations constrain the prototype. First, dependency on the OpenAI API introduces cost exposure and vendor lock-in at scale. Second, the self-reflective evaluation relies on the same model that produced the draft, creating a potential circular bias where systematic errors evade self-detection. Third, the flat-L2 FAISS index does not scale beyond ~10 million vectors without transitioning to approximate indices (IVF, HNSW).</w:t>
      </w:r>
    </w:p>
    <w:p>
      <w:pPr>
        <w:spacing w:after="60" w:before="120"/>
        <w:jc w:val="left"/>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Future Directions</w:t>
      </w:r>
    </w:p>
    <w:p>
      <w:pPr>
        <w:spacing w:after="120" w:line="228" w:lineRule="auto"/>
        <w:ind w:firstLine="288"/>
        <w:jc w:val="both"/>
      </w:pPr>
      <w:r>
        <w:rPr>
          <w:rFonts w:ascii="Times New Roman" w:cs="Times New Roman" w:eastAsia="Times New Roman" w:hAnsi="Times New Roman"/>
          <w:sz w:val="20"/>
          <w:szCs w:val="20"/>
        </w:rPr>
        <w:t xml:space="preserve">Four directions are identified for future work. (1) Open-source LLM integration (Llama 3-8B, Mistral-7B) to eliminate API dependency and enable on-premises deployment. (2) Cross-model reflection using a separate verifier model to break the circular evaluation dependency. (3) Hybrid BM25 + FAISS retrieval via reciprocal rank fusion to improve recall on low-frequency terminology. (4) Adaptive reflection thresholds using a confidence-based stopping criterion to minimise unnecessary refinement latency.</w:t>
      </w:r>
    </w:p>
    <w:p>
      <w:pPr>
        <w:spacing w:after="80" w:before="160"/>
        <w:jc w:val="center"/>
      </w:pPr>
      <w:r>
        <w:rPr>
          <w:rFonts w:ascii="Times New Roman" w:cs="Times New Roman" w:eastAsia="Times New Roman" w:hAnsi="Times New Roman"/>
          <w:smallCaps/>
          <w:sz w:val="20"/>
          <w:szCs w:val="20"/>
        </w:rPr>
        <w:t xml:space="preserve">VII. Conclusion</w:t>
      </w:r>
    </w:p>
    <w:p>
      <w:pPr>
        <w:spacing w:after="120" w:line="228" w:lineRule="auto"/>
        <w:ind w:firstLine="288"/>
        <w:jc w:val="both"/>
      </w:pPr>
      <w:r>
        <w:rPr>
          <w:rFonts w:ascii="Times New Roman" w:cs="Times New Roman" w:eastAsia="Times New Roman" w:hAnsi="Times New Roman"/>
          <w:sz w:val="20"/>
          <w:szCs w:val="20"/>
        </w:rPr>
        <w:t xml:space="preserve">This paper presented a conceptual framework and prototype design for a Self-Reflective Multi-Agent Chatbot built on Retrieval-Augmented Generation. The core contribution is the demonstration that the two dominant failure modes of RAG systems—hallucination and topic drift—can be substantially mitigated by introducing an internalised evaluation agent operating within the generation loop rather than as a post-hoc external filter.</w:t>
      </w:r>
    </w:p>
    <w:p>
      <w:pPr>
        <w:spacing w:after="120" w:line="228" w:lineRule="auto"/>
        <w:ind w:firstLine="288"/>
        <w:jc w:val="both"/>
      </w:pPr>
      <w:r>
        <w:rPr>
          <w:rFonts w:ascii="Times New Roman" w:cs="Times New Roman" w:eastAsia="Times New Roman" w:hAnsi="Times New Roman"/>
          <w:sz w:val="20"/>
          <w:szCs w:val="20"/>
        </w:rPr>
        <w:t xml:space="preserve">The four-agent architecture distributes query processing across specialised components, each contributing measurably to system quality. Evaluation demonstrated 83.0 % accuracy, 86.5 % relevance, and a 52 % relative hallucination reduction. The ablation study confirms this gain is attributable specifically to the self-reflective validation protocol, independent of retrieval or routing improvements.</w:t>
      </w:r>
    </w:p>
    <w:p>
      <w:pPr>
        <w:spacing w:after="120" w:line="228" w:lineRule="auto"/>
        <w:ind w:firstLine="288"/>
        <w:jc w:val="both"/>
      </w:pPr>
      <w:r>
        <w:rPr>
          <w:rFonts w:ascii="Times New Roman" w:cs="Times New Roman" w:eastAsia="Times New Roman" w:hAnsi="Times New Roman"/>
          <w:sz w:val="20"/>
          <w:szCs w:val="20"/>
        </w:rPr>
        <w:t xml:space="preserve">The architectural principle established here—that generative AI systems should incorporate intrinsic quality verification as a first-class design element—has broad applicability across knowledge-intensive dialogue domains. The bounded, prompt-driven reflection protocol requires no external oracle, no retraining, and no ground-truth labels, making it immediately deployable within existing LLM-based production pipelines.</w:t>
      </w:r>
    </w:p>
    <w:p>
      <w:pPr>
        <w:spacing w:after="80" w:before="160"/>
        <w:jc w:val="left"/>
      </w:pPr>
      <w:r>
        <w:rPr>
          <w:rFonts w:ascii="Times New Roman" w:cs="Times New Roman" w:eastAsia="Times New Roman" w:hAnsi="Times New Roman"/>
          <w:smallCaps/>
          <w:sz w:val="20"/>
          <w:szCs w:val="20"/>
        </w:rPr>
        <w:t xml:space="preserve">Acknowledgment</w:t>
      </w:r>
    </w:p>
    <w:p>
      <w:pPr>
        <w:spacing w:after="120" w:line="228" w:lineRule="auto"/>
        <w:ind w:firstLine="0"/>
        <w:jc w:val="both"/>
      </w:pPr>
      <w:r>
        <w:rPr>
          <w:rFonts w:ascii="Times New Roman" w:cs="Times New Roman" w:eastAsia="Times New Roman" w:hAnsi="Times New Roman"/>
          <w:sz w:val="20"/>
          <w:szCs w:val="20"/>
        </w:rPr>
        <w:t xml:space="preserve">The authors thank the reviewers for constructive feedback and the Department of Computer Science and Engineering for supporting this research.</w:t>
      </w:r>
    </w:p>
    <w:p>
      <w:pPr>
        <w:spacing w:after="80" w:before="160"/>
        <w:jc w:val="left"/>
      </w:pPr>
      <w:r>
        <w:rPr>
          <w:rFonts w:ascii="Times New Roman" w:cs="Times New Roman" w:eastAsia="Times New Roman" w:hAnsi="Times New Roman"/>
          <w:smallCaps/>
          <w:sz w:val="20"/>
          <w:szCs w:val="20"/>
        </w:rPr>
        <w:t xml:space="preserve">References</w:t>
      </w:r>
    </w:p>
    <w:p>
      <w:pPr>
        <w:spacing w:after="50" w:line="180" w:lineRule="exact"/>
        <w:ind w:left="288" w:hanging="288"/>
        <w:jc w:val="both"/>
      </w:pPr>
      <w:r>
        <w:rPr>
          <w:rFonts w:ascii="Times New Roman" w:cs="Times New Roman" w:eastAsia="Times New Roman" w:hAnsi="Times New Roman"/>
          <w:sz w:val="16"/>
          <w:szCs w:val="16"/>
        </w:rPr>
        <w:t xml:space="preserve">[1] J. Maynez, S. Narayan, B. Bohnet, and R. McDonald, “On faithfulness and factuality in abstractive summarization,” in Proc. ACL, 2020, pp. 1906–1919.</w:t>
      </w:r>
    </w:p>
    <w:p>
      <w:pPr>
        <w:spacing w:after="50" w:line="180" w:lineRule="exact"/>
        <w:ind w:left="288" w:hanging="288"/>
        <w:jc w:val="both"/>
      </w:pPr>
      <w:r>
        <w:rPr>
          <w:rFonts w:ascii="Times New Roman" w:cs="Times New Roman" w:eastAsia="Times New Roman" w:hAnsi="Times New Roman"/>
          <w:sz w:val="16"/>
          <w:szCs w:val="16"/>
        </w:rPr>
        <w:t xml:space="preserve">[2] T. Gao, A. Fisch, and D. Chen, “Making pre-trained language models better few-shot learners,” in Proc. ACL-IJCNLP, 2021, pp. 3816–3830.</w:t>
      </w:r>
    </w:p>
    <w:p>
      <w:pPr>
        <w:spacing w:after="50" w:line="180" w:lineRule="exact"/>
        <w:ind w:left="288" w:hanging="288"/>
        <w:jc w:val="both"/>
      </w:pPr>
      <w:r>
        <w:rPr>
          <w:rFonts w:ascii="Times New Roman" w:cs="Times New Roman" w:eastAsia="Times New Roman" w:hAnsi="Times New Roman"/>
          <w:sz w:val="16"/>
          <w:szCs w:val="16"/>
        </w:rPr>
        <w:t xml:space="preserve">[3] P. Lewis et al., “Retrieval-augmented generation for knowledge-intensive NLP tasks,” Adv. Neural Inf. Process. Syst., vol. 33, pp. 9459–9474, 2020.</w:t>
      </w:r>
    </w:p>
    <w:p>
      <w:pPr>
        <w:spacing w:after="50" w:line="180" w:lineRule="exact"/>
        <w:ind w:left="288" w:hanging="288"/>
        <w:jc w:val="both"/>
      </w:pPr>
      <w:r>
        <w:rPr>
          <w:rFonts w:ascii="Times New Roman" w:cs="Times New Roman" w:eastAsia="Times New Roman" w:hAnsi="Times New Roman"/>
          <w:sz w:val="16"/>
          <w:szCs w:val="16"/>
        </w:rPr>
        <w:t xml:space="preserve">[4] S. Yao et al., “ReAct: Synergizing reasoning and acting in language models,” in Proc. ICLR, 2023.</w:t>
      </w:r>
    </w:p>
    <w:p>
      <w:pPr>
        <w:spacing w:after="50" w:line="180" w:lineRule="exact"/>
        <w:ind w:left="288" w:hanging="288"/>
        <w:jc w:val="both"/>
      </w:pPr>
      <w:r>
        <w:rPr>
          <w:rFonts w:ascii="Times New Roman" w:cs="Times New Roman" w:eastAsia="Times New Roman" w:hAnsi="Times New Roman"/>
          <w:sz w:val="16"/>
          <w:szCs w:val="16"/>
        </w:rPr>
        <w:t xml:space="preserve">[5] N. Shinn, F. Cassano, A. Gopinath, K. Narasimhan, and S. Yao, “Reflexion: Language agents with verbal reinforcement learning,” in Proc. NeurIPS, 2023.</w:t>
      </w:r>
    </w:p>
    <w:p>
      <w:pPr>
        <w:spacing w:after="50" w:line="180" w:lineRule="exact"/>
        <w:ind w:left="288" w:hanging="288"/>
        <w:jc w:val="both"/>
      </w:pPr>
      <w:r>
        <w:rPr>
          <w:rFonts w:ascii="Times New Roman" w:cs="Times New Roman" w:eastAsia="Times New Roman" w:hAnsi="Times New Roman"/>
          <w:sz w:val="16"/>
          <w:szCs w:val="16"/>
        </w:rPr>
        <w:t xml:space="preserve">[6] V. Karpukhin et al., “Dense passage retrieval for open-domain question answering,” in Proc. EMNLP, 2020, pp. 6769–6781.</w:t>
      </w:r>
    </w:p>
    <w:p>
      <w:pPr>
        <w:spacing w:after="50" w:line="180" w:lineRule="exact"/>
        <w:ind w:left="288" w:hanging="288"/>
        <w:jc w:val="both"/>
      </w:pPr>
      <w:r>
        <w:rPr>
          <w:rFonts w:ascii="Times New Roman" w:cs="Times New Roman" w:eastAsia="Times New Roman" w:hAnsi="Times New Roman"/>
          <w:sz w:val="16"/>
          <w:szCs w:val="16"/>
        </w:rPr>
        <w:t xml:space="preserve">[7] J. Johnson, M. Douze, and H. Jégou, “Billion-scale similarity search with GPUs,” IEEE Trans. Big Data, vol. 7, no. 3, pp. 535–547, 2021.</w:t>
      </w:r>
    </w:p>
    <w:p>
      <w:pPr>
        <w:spacing w:after="50" w:line="180" w:lineRule="exact"/>
        <w:ind w:left="288" w:hanging="288"/>
        <w:jc w:val="both"/>
      </w:pPr>
      <w:r>
        <w:rPr>
          <w:rFonts w:ascii="Times New Roman" w:cs="Times New Roman" w:eastAsia="Times New Roman" w:hAnsi="Times New Roman"/>
          <w:sz w:val="16"/>
          <w:szCs w:val="16"/>
        </w:rPr>
        <w:t xml:space="preserve">[8] Z. Shi et al., “REPLUG: Retrieval-augmented black-box language models,” in Proc. NAACL, 2024, pp. 8364–8377.</w:t>
      </w:r>
    </w:p>
    <w:p>
      <w:pPr>
        <w:spacing w:after="50" w:line="180" w:lineRule="exact"/>
        <w:ind w:left="288" w:hanging="288"/>
        <w:jc w:val="both"/>
      </w:pPr>
      <w:r>
        <w:rPr>
          <w:rFonts w:ascii="Times New Roman" w:cs="Times New Roman" w:eastAsia="Times New Roman" w:hAnsi="Times New Roman"/>
          <w:sz w:val="16"/>
          <w:szCs w:val="16"/>
        </w:rPr>
        <w:t xml:space="preserve">[9] Y. Trivedi et al., “Interleaving retrieval with chain-of-thought reasoning for knowledge-intensive multi-step questions,” in Proc. ACL, 2023, pp. 10014–10032.</w:t>
      </w:r>
    </w:p>
    <w:p>
      <w:pPr>
        <w:spacing w:after="50" w:line="180" w:lineRule="exact"/>
        <w:ind w:left="288" w:hanging="288"/>
        <w:jc w:val="both"/>
      </w:pPr>
      <w:r>
        <w:rPr>
          <w:rFonts w:ascii="Times New Roman" w:cs="Times New Roman" w:eastAsia="Times New Roman" w:hAnsi="Times New Roman"/>
          <w:sz w:val="16"/>
          <w:szCs w:val="16"/>
        </w:rPr>
        <w:t xml:space="preserve">[10] A. Asai et al., “Self-RAG: Learning to retrieve, generate, and critique through self-reflection,” in Proc. ICLR, 2024.</w:t>
      </w:r>
    </w:p>
    <w:p>
      <w:pPr>
        <w:spacing w:after="50" w:line="180" w:lineRule="exact"/>
        <w:ind w:left="288" w:hanging="288"/>
        <w:jc w:val="both"/>
      </w:pPr>
      <w:r>
        <w:rPr>
          <w:rFonts w:ascii="Times New Roman" w:cs="Times New Roman" w:eastAsia="Times New Roman" w:hAnsi="Times New Roman"/>
          <w:sz w:val="16"/>
          <w:szCs w:val="16"/>
        </w:rPr>
        <w:t xml:space="preserve">[11] S. Hong et al., “MetaGPT: Meta programming for multi-agent collaborative framework,” in Proc. ICLR, 2024.</w:t>
      </w:r>
    </w:p>
    <w:p>
      <w:pPr>
        <w:spacing w:after="50" w:line="180" w:lineRule="exact"/>
        <w:ind w:left="288" w:hanging="288"/>
        <w:jc w:val="both"/>
      </w:pPr>
      <w:r>
        <w:rPr>
          <w:rFonts w:ascii="Times New Roman" w:cs="Times New Roman" w:eastAsia="Times New Roman" w:hAnsi="Times New Roman"/>
          <w:sz w:val="16"/>
          <w:szCs w:val="16"/>
        </w:rPr>
        <w:t xml:space="preserve">[12] H. Chase, “LangChain,” GitHub, 2022. [Online]. Available: https://github.com/langchain-ai/langchain</w:t>
      </w:r>
    </w:p>
    <w:p>
      <w:pPr>
        <w:spacing w:after="50" w:line="180" w:lineRule="exact"/>
        <w:ind w:left="288" w:hanging="288"/>
        <w:jc w:val="both"/>
      </w:pPr>
      <w:r>
        <w:rPr>
          <w:rFonts w:ascii="Times New Roman" w:cs="Times New Roman" w:eastAsia="Times New Roman" w:hAnsi="Times New Roman"/>
          <w:sz w:val="16"/>
          <w:szCs w:val="16"/>
        </w:rPr>
        <w:t xml:space="preserve">[13] A. Madaan et al., “SELF-REFINE: Iterative refinement with self-feedback,” in Proc. NeurIPS, 2023.</w:t>
      </w:r>
    </w:p>
    <w:p>
      <w:pPr>
        <w:spacing w:before="200"/>
        <w:jc w:val="center"/>
      </w:pPr>
      <w:r>
        <w:rPr>
          <w:rFonts w:ascii="Times New Roman" w:cs="Times New Roman" w:eastAsia="Times New Roman" w:hAnsi="Times New Roman"/>
          <w:sz w:val="16"/>
          <w:szCs w:val="16"/>
        </w:rPr>
        <w:t xml:space="preserve">XXX-X-XXXX-XXXX-X/XX/$XX.00 ©2025 IEEE</w:t>
      </w:r>
    </w:p>
    <w:sectPr>
      <w:type w:val="continuous"/>
      <w:pgSz w:w="11906" w:h="16838" w:orient="portrait"/>
      <w:pgMar w:top="1080" w:right="907" w:bottom="1440" w:left="907"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318f5aecca6ebf078e12bdd5bc99007b388814.png"/><Relationship Id="rId8" Type="http://schemas.openxmlformats.org/officeDocument/2006/relationships/image" Target="media/dcf68d07dc8401fe18aee12d31bf73bd2923b944.png"/><Relationship Id="rId9" Type="http://schemas.openxmlformats.org/officeDocument/2006/relationships/image" Target="media/d364c132d16aac7dd1e37cb805b22f061f966c86.png"/><Relationship Id="rId10" Type="http://schemas.openxmlformats.org/officeDocument/2006/relationships/image" Target="media/1423b437899284d4cbd02b1fccd27fef9553cc89.png"/><Relationship Id="rId11" Type="http://schemas.openxmlformats.org/officeDocument/2006/relationships/image" Target="media/28902ff93b31eebc9bd03c84d3c9395f9472272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2026-05-13T09:28:20.989Z</dcterms:created>
  <dcterms:modified xsi:type="dcterms:W3CDTF">2026-05-13T09:28:21.004Z</dcterms:modified>
</cp:coreProperties>
</file>

<file path=docProps/custom.xml><?xml version="1.0" encoding="utf-8"?>
<Properties xmlns="http://schemas.openxmlformats.org/officeDocument/2006/custom-properties" xmlns:vt="http://schemas.openxmlformats.org/officeDocument/2006/docPropsVTypes"/>
</file>