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Credit Risk Intelligence Platform</w:t>
      </w:r>
    </w:p>
    <w:p>
      <w:pPr>
        <w:jc w:val="center"/>
      </w:pPr>
      <w:r>
        <w:t>SQL Analysis Findings — Phase 1 + Phase 2 + ML Preparation</w:t>
      </w:r>
    </w:p>
    <w:p>
      <w:pPr>
        <w:jc w:val="center"/>
      </w:pPr>
      <w:r>
        <w:t>Dataset: credit_risk.loans | 1,347,681 loans</w:t>
      </w:r>
    </w:p>
    <w:p>
      <w:pPr>
        <w:pStyle w:val="Heading1"/>
      </w:pPr>
      <w:r>
        <w:t>1. Project Objective</w:t>
      </w:r>
    </w:p>
    <w:p>
      <w:r>
        <w:t>Analyze a LendingClub-style portfolio to answer: Which borrowers/loans appear more likely to default, where is risk concentrated, and where is the lender's financial exposure greatest?</w:t>
      </w:r>
    </w:p>
    <w:p>
      <w:pPr>
        <w:pStyle w:val="Heading1"/>
      </w:pPr>
      <w:r>
        <w:t>2. Phase 1 — Portfolio Baseline (Q1)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5112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Total loans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1,347,681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Total exposure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$19,417,698,475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Defaulted loans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269,249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Overall default rate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19.98%</w:t>
            </w:r>
          </w:p>
        </w:tc>
      </w:tr>
    </w:tbl>
    <w:p>
      <w:r>
        <w:t>19.98% is the baseline used for later segment comparisons.</w:t>
      </w:r>
    </w:p>
    <w:p>
      <w:pPr>
        <w:pStyle w:val="Heading1"/>
      </w:pPr>
      <w:r>
        <w:t>3. Phase 1 — Loan Purpose (Q2–Q4)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6"/>
              </w:rPr>
              <w:t>Purpose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debt_consolidation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781,206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165,528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21.15%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$11.893B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credit_card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295,551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50,040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16.93%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$4.375B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home_improvement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87,684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15,570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17.76%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$1.239B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other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78,263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16,501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21.08%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$768M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small_business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15,575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4,650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29.86%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$243.5M</w:t>
            </w:r>
          </w:p>
        </w:tc>
      </w:tr>
    </w:tbl>
    <w:p>
      <w:r>
        <w:t>Debt consolidation is the largest exposure segment. Small business is much smaller but has a high observed default rate (29.86%).</w:t>
      </w:r>
    </w:p>
    <w:p>
      <w:pPr>
        <w:pStyle w:val="Heading1"/>
      </w:pPr>
      <w:r>
        <w:t>4. Phase 1 — FICO (Q5)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6"/>
              </w:rPr>
              <w:t>FICO band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238,506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62,733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26.30%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~$3.01B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963,883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192,495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19.97%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~$14.18B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129,847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13,031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10.04%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~$1.99B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15,445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990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6.41%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~$238M</w:t>
            </w:r>
          </w:p>
        </w:tc>
      </w:tr>
    </w:tbl>
    <w:p>
      <w:r>
        <w:t>Lower FICO is associated with higher observed default. Fair is 26.30% versus Excellent at 6.41%.</w:t>
      </w:r>
    </w:p>
    <w:p>
      <w:pPr>
        <w:pStyle w:val="Heading1"/>
      </w:pPr>
      <w:r>
        <w:t>5. Phase 1 — DTI (Q6)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6"/>
              </w:rPr>
              <w:t>DTI band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6,808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2,088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30.67%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~$118M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122,297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35,610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29.12%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~$1.73B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410,172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94,646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23.07%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~$6.03B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563,230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100,517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17.85%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~$8.23B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245,174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36,388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14.84%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~$3.31B</w:t>
            </w:r>
          </w:p>
        </w:tc>
      </w:tr>
    </w:tbl>
    <w:p>
      <w:r>
        <w:t>Higher DTI is associated with higher observed default: 30.67% for Very High versus 14.84% for Very Low.</w:t>
      </w:r>
    </w:p>
    <w:p>
      <w:pPr>
        <w:pStyle w:val="Heading1"/>
      </w:pPr>
      <w:r>
        <w:t>6. Phase 1 — Loan Size (Q7)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6"/>
              </w:rPr>
              <w:t>Loan size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20K+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362,332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83,023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22.91%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~$9.54B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15K–20K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214,042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47,368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22.13%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~$3.53B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10K–15K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313,750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63,993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20.40%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~$3.64B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5K–10K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323,710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54,088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16.71%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~$2.28B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Under 5K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133,847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20,777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15.52%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~$424M</w:t>
            </w:r>
          </w:p>
        </w:tc>
      </w:tr>
    </w:tbl>
    <w:p>
      <w:r>
        <w:t>Larger loans show higher observed default. This is an association, not a causal claim.</w:t>
      </w:r>
    </w:p>
    <w:p>
      <w:pPr>
        <w:pStyle w:val="Heading1"/>
      </w:pPr>
      <w:r>
        <w:t>7. Phase 1 — Employment Length (Q8)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  <w:sz w:val="16"/>
              </w:rPr>
              <w:t>Employment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Default rate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78,188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21,077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26.96%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1 year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88,841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18,289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20.59%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&lt;1 year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108,517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22,289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20.54%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3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107,862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21,558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19.99%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8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60,808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12,132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19.95%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9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51,019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10,158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19.91%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2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122,091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24,197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19.82%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4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80,761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15,956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19.76%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5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84,326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16,545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19.62%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7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59,724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11,652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19.51%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6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62,877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12,183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19.38%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10+ years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442,667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83,213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18.80%</w:t>
            </w:r>
          </w:p>
        </w:tc>
      </w:tr>
    </w:tbl>
    <w:p>
      <w:r>
        <w:t>Employment length is much weaker than FICO or DTI; actual employment groups cluster around 19–20%. N/A is missing information, not a real employment category.</w:t>
      </w:r>
    </w:p>
    <w:p>
      <w:pPr>
        <w:pStyle w:val="Heading1"/>
      </w:pPr>
      <w:r>
        <w:t>8. Phase 1 — Home Ownership (Q9)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6"/>
              </w:rPr>
              <w:t>Home ownership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RENT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535,585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124,408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23.23%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~$6.76B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OWN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144,985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29,904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20.63%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~$2.01B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OTHER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517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19.73%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~$6.6M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MORTGAGE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666,594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114,835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17.23%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~$10.64B</w:t>
            </w:r>
          </w:p>
        </w:tc>
      </w:tr>
    </w:tbl>
    <w:p>
      <w:r>
        <w:t>Rent has the highest observed default rate. Mortgage has the lowest, but the largest exposure.</w:t>
      </w:r>
    </w:p>
    <w:p>
      <w:pPr>
        <w:pStyle w:val="Heading1"/>
      </w:pPr>
      <w:r>
        <w:t>9. Phase 1 — State / Geography (Q10)</w:t>
      </w:r>
    </w:p>
    <w:p>
      <w:r>
        <w:t>The full query returned 51 state/territory rows. Key rows: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6"/>
              </w:rPr>
              <w:t>State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MS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6,593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1,722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26.12%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$92.17M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NE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3,591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905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25.20%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$47.92M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AR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10,058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2,425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24.11%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$135.72M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AL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16,640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3,933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23.64%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$232.06M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OK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12,291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2,884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23.46%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$175.14M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LA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15,520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3,596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23.17%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$221.12M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NY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110,075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24,267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22.05%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$1.573B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NV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20,282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4,457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21.98%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$279.09M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FL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95,815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20,599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21.50%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$1.315B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TX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110,307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21,881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19.84%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$1.674B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CA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196,805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38,633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19.63%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$2.887B</w:t>
            </w:r>
          </w:p>
        </w:tc>
      </w:tr>
    </w:tbl>
    <w:p>
      <w:r>
        <w:t>Mississippi has the highest listed default rate, but California has much greater exposure. Rate and exposure must be considered together.</w:t>
      </w:r>
    </w:p>
    <w:p>
      <w:pPr>
        <w:pStyle w:val="Heading1"/>
      </w:pPr>
      <w:r>
        <w:t>10. Phase 1 — FICO + DTI (Q11)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1,065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420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39.44%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$16.44M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21,042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7,668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36.44%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$266.52M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70,656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21,585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30.55%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$916.43M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5,073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1,540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30.36%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$89.43M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92,826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26,591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28.65%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$1.336B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101,146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24,363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24.09%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$1.287B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304,695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69,046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22.66%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$4.581B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44,597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8,697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19.50%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$520M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402,123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71,172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17.70%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$6.006B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7,832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1,298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16.57%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$115.57M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159,166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24,146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15.17%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$2.173B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32,128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3,792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11.80%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$497.65M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35,159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3,178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9.04%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$519.37M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54,111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4,642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8.58%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$845.24M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2,693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223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8.28%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$40.29M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6,252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367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5.87%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$99.10M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5,850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340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5.81%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$89.18M</w:t>
            </w:r>
          </w:p>
        </w:tc>
      </w:tr>
    </w:tbl>
    <w:p>
      <w:r>
        <w:t>Core finding: Fair + Very High is 39.44% versus Excellent + Low at 5.81%. Combining FICO and DTI creates a much stronger risk gradient.</w:t>
      </w:r>
    </w:p>
    <w:p>
      <w:pPr>
        <w:pStyle w:val="Heading1"/>
      </w:pPr>
      <w:r>
        <w:t>11. Phase 1 — Defaulted Exposure by Purpose (Q12)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  <w:sz w:val="16"/>
              </w:rPr>
              <w:t>Purpose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Total exposure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Defaulted exposure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Defaulted exposure 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debt_consolidation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$11.893B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$2.679B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22.53%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credit_card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$4.375B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$784.54M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17.93%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home_improvement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$1.239B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$248.67M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20.07%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other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$767.93M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$188.30M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24.52%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major_purchase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$349.12M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$82.54M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23.64%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small_business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$243.47M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$79.23M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32.54%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medical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$140.30M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$34.82M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24.82%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house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$111.99M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$25.71M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22.96%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car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$129.43M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$22.75M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17.36%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moving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$74.76M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$19.98M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26.72%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vacation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$56.22M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$14.28M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25.39%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wedding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$24.59M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$3.41M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13.86%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renewable_energy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$9.36M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$2.39M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25.48%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educational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$2.80M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$0.65M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23.07%</w:t>
            </w:r>
          </w:p>
        </w:tc>
      </w:tr>
    </w:tbl>
    <w:p>
      <w:r>
        <w:t>Small business has the highest defaulted-exposure percentage (32.54%), while debt consolidation has the largest absolute exposure ($11.893B).</w:t>
      </w:r>
    </w:p>
    <w:p>
      <w:pPr>
        <w:pStyle w:val="Heading1"/>
      </w:pPr>
      <w:r>
        <w:t>12. Phase 1 — Lending Volume Over Time (Q13)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  <w:sz w:val="16"/>
              </w:rPr>
              <w:t>Year</w:t>
            </w:r>
          </w:p>
        </w:tc>
        <w:tc>
          <w:tcPr>
            <w:tcW w:type="dxa" w:w="3408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3408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2007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599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$4.95M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2008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2,393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$21.12M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2009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5,281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$51.93M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2010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12,537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$131.99M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21,721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$261.68M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53,367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$718.41M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2013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134,804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$1.983B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2014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223,102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$3.253B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2015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375,543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$5.499B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2016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293,057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$4.240B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2017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169,117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$2.418B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2018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56,160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$835M</w:t>
            </w:r>
          </w:p>
        </w:tc>
      </w:tr>
    </w:tbl>
    <w:p>
      <w:r>
        <w:t>Lending expanded dramatically, peaking around 2015 at 375,543 loans and ~$5.5B exposure, then declined.</w:t>
      </w:r>
    </w:p>
    <w:p>
      <w:pPr>
        <w:pStyle w:val="Heading1"/>
      </w:pPr>
      <w:r>
        <w:t>13. Phase 1 — Default Rate Over Time (Q14)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6"/>
              </w:rPr>
              <w:t>Year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045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2007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599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26.38%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$4.95M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2008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2,393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496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20.73%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$21.12M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2009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5,281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723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13.69%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$51.93M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12,537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1,757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14.01%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$131.99M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21,721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3,297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15.18%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$261.68M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53,367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8,644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16.20%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$718.41M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134,804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21,024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15.60%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$1.983B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2014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223,102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41,161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18.45%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$3.253B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2015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375,543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75,802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20.18%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$5.499B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2016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293,057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68,229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23.28%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$4.240B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169,117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39,112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23.13%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$2.418B</w:t>
            </w:r>
          </w:p>
        </w:tc>
      </w:tr>
      <w:tr>
        <w:tc>
          <w:tcPr>
            <w:tcW w:type="dxa" w:w="2045"/>
          </w:tcPr>
          <w:p>
            <w:r>
              <w:rPr>
                <w:sz w:val="16"/>
              </w:rPr>
              <w:t>2018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56,160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8,846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15.75%</w:t>
            </w:r>
          </w:p>
        </w:tc>
        <w:tc>
          <w:tcPr>
            <w:tcW w:type="dxa" w:w="2045"/>
          </w:tcPr>
          <w:p>
            <w:r>
              <w:rPr>
                <w:sz w:val="16"/>
              </w:rPr>
              <w:t>$835M</w:t>
            </w:r>
          </w:p>
        </w:tc>
      </w:tr>
    </w:tbl>
    <w:p>
      <w:r>
        <w:t>Default rates vary over time: 13.69% in 2009 versus 23.28% in 2016. This is a temporal pattern, not a causal claim.</w:t>
      </w:r>
    </w:p>
    <w:p>
      <w:pPr>
        <w:pStyle w:val="Heading1"/>
      </w:pPr>
      <w:r>
        <w:t>14. Phase 1 — State Risk Ranking (Q15)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  <w:sz w:val="16"/>
              </w:rPr>
              <w:t>Rank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State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2556"/>
          </w:tcPr>
          <w:p>
            <w:r>
              <w:rPr>
                <w:b/>
                <w:sz w:val="16"/>
              </w:rPr>
              <w:t>Exposure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26.12%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$92.17M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AR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24.11%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$135.72M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AL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23.64%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$232.06M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OK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23.46%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$175.14M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LA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23.17%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$221.12M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22.05%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$1.573B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NV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21.98%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$279.09M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FL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21.50%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$1.315B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21.44%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$304.69M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21.42%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$288.23M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CA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19.63%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$2.887B</w:t>
            </w:r>
          </w:p>
        </w:tc>
      </w:tr>
    </w:tbl>
    <w:p>
      <w:r>
        <w:t>Rank 1 means highest observed default rate. Ranking alone is insufficient because exposure differs greatly between states.</w:t>
      </w:r>
    </w:p>
    <w:p>
      <w:pPr>
        <w:pStyle w:val="Heading1"/>
      </w:pPr>
      <w:r>
        <w:t>15. Phase 2 — FICO × DTI Profile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3408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3408"/>
          </w:tcPr>
          <w:p>
            <w:r>
              <w:rPr>
                <w:b/>
                <w:sz w:val="16"/>
              </w:rPr>
              <w:t>Loans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597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5,850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2,693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53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6,252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21,042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101,146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70,656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1,065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44,597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92,826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402,123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304,695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5,073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159,166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7,832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54,111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32,128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617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35,159</w:t>
            </w:r>
          </w:p>
        </w:tc>
      </w:tr>
    </w:tbl>
    <w:p>
      <w:r>
        <w:t>The profile sizes are highly uneven: Good + Low has 402,123 loans, while Excellent + Very High has only 53.</w:t>
      </w:r>
    </w:p>
    <w:p>
      <w:pPr>
        <w:pStyle w:val="Heading1"/>
      </w:pPr>
      <w:r>
        <w:t>16. Phase 2 — FICO × DTI Risk + Exposure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1461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1461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1461"/>
          </w:tcPr>
          <w:p>
            <w:r>
              <w:rPr>
                <w:b/>
                <w:sz w:val="16"/>
              </w:rPr>
              <w:t>Defaults</w:t>
            </w:r>
          </w:p>
        </w:tc>
        <w:tc>
          <w:tcPr>
            <w:tcW w:type="dxa" w:w="1461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1461"/>
          </w:tcPr>
          <w:p>
            <w:r>
              <w:rPr>
                <w:b/>
                <w:sz w:val="16"/>
              </w:rPr>
              <w:t>Total exposure</w:t>
            </w:r>
          </w:p>
        </w:tc>
        <w:tc>
          <w:tcPr>
            <w:tcW w:type="dxa" w:w="1461"/>
          </w:tcPr>
          <w:p>
            <w:r>
              <w:rPr>
                <w:b/>
                <w:sz w:val="16"/>
              </w:rPr>
              <w:t>Defaulted exposure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1,065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420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39.44%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$16,436,000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$6,775,475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21,042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7,668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36.44%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$266,521,275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$107,007,200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70,656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21,585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30.55%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$916,428,875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$307,272,125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5,073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1,540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30.36%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$89,427,250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$28,060,750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92,826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26,591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28.65%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$1,335,570,250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$412,676,875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101,146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24,363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24.09%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$1,286,759,150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$344,912,175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304,695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69,046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22.66%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$4,580,578,225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$1,106,814,750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617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121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19.61%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$11,515,500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$2,227,625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44,597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8,697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19.50%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$520,367,225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$116,222,700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402,123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71,172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17.70%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$6,005,718,350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$1,146,312,225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7,832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1,298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16.57%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$115,568,875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$20,358,150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159,166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24,146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15.17%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$2,172,625,625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$364,300,800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13.21%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$1,072,950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$115,800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32,128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3,792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11.80%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$497,648,275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$63,490,550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35,159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3,178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9.04%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$519,372,200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$58,046,525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597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8.88%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$8,280,725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$753,700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54,111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4,642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8.58%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$845,243,775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$82,806,900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2,693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223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8.28%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$40,287,875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$3,807,975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6,252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367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5.87%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$99,099,850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$7,491,675</w:t>
            </w:r>
          </w:p>
        </w:tc>
      </w:tr>
      <w:tr>
        <w:tc>
          <w:tcPr>
            <w:tcW w:type="dxa" w:w="1461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5,850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340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5.81%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$89,176,225</w:t>
            </w:r>
          </w:p>
        </w:tc>
        <w:tc>
          <w:tcPr>
            <w:tcW w:type="dxa" w:w="1461"/>
          </w:tcPr>
          <w:p>
            <w:r>
              <w:rPr>
                <w:sz w:val="16"/>
              </w:rPr>
              <w:t>$6,566,725</w:t>
            </w:r>
          </w:p>
        </w:tc>
      </w:tr>
    </w:tbl>
    <w:p>
      <w:pPr>
        <w:pStyle w:val="Heading1"/>
      </w:pPr>
      <w:r>
        <w:t>17. Phase 2 — Populated Profile Ranking (≥1,000 loans)</w:t>
      </w:r>
    </w:p>
    <w:p>
      <w:r>
        <w:t>Same FICO × DTI risk view filtered to profiles with at least 1,000 loans, to avoid tiny groups dominating practical prioritization.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Total exposure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Defaulted exposure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1,065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39.44%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$16,436,000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$6,775,475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21,042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36.44%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$266,521,275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$107,007,200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70,656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30.55%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$916,428,875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$307,272,125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5,073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30.36%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$89,427,250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$28,060,750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92,826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28.65%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$1,335,570,250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$412,676,875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101,146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24.09%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$1,286,759,150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$344,912,175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304,695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22.66%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$4,580,578,225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$1,106,814,750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44,597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19.50%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$520,367,225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$116,222,700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402,123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17.70%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$6,005,718,350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$1,146,312,225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7,832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16.57%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$115,568,875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$20,358,150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159,166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15.17%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$2,172,625,625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$364,300,800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32,128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11.80%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$497,648,275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$63,490,550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35,159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9.04%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$519,372,200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$58,046,525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54,111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8.58%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$845,243,775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$82,806,900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2,693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8.28%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$40,287,875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$3,807,975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6,252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5.87%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$99,099,850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$7,491,675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5,850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5.81%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$89,176,225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$6,566,725</w:t>
            </w:r>
          </w:p>
        </w:tc>
      </w:tr>
    </w:tbl>
    <w:p>
      <w:pPr>
        <w:pStyle w:val="Heading1"/>
      </w:pPr>
      <w:r>
        <w:t>18. Phase 2 — Exposure Share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Exposure share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Total exposure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Defaulted exposure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402,123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30.93%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$6,005,718,350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$1,146,312,225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304,695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23.59%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$4,580,578,225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$1,106,814,750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159,166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11.19%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$2,172,625,625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$364,300,800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92,826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6.88%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$1,335,570,250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$412,676,875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101,146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6.63%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$1,286,759,150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$344,912,175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54,111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4.35%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$845,243,775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$82,806,900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70,656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4.72%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$916,428,875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$307,272,125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44,597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2.68%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$520,367,225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$116,222,700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35,159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2.67%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$519,372,200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$58,046,525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32,128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2.56%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$497,648,275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$63,490,550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21,042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1.37%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$266,521,275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$107,007,200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7,832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0.60%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$115,568,875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$20,358,150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6,252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0.51%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$99,099,850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$7,491,675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5,850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0.46%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$89,176,225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$6,566,725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5,073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0.46%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$89,427,250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$28,060,750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2,693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0.21%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$40,287,875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$3,807,975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1,065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0.08%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$16,436,000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$6,775,475</w:t>
            </w:r>
          </w:p>
        </w:tc>
      </w:tr>
    </w:tbl>
    <w:p>
      <w:r>
        <w:t>Good + Low and Good + Moderate together represent 54.52% of portfolio exposure. Fair + Very High has the highest default rate but only 0.08% of exposure.</w:t>
      </w:r>
    </w:p>
    <w:p>
      <w:pPr>
        <w:pStyle w:val="Heading1"/>
      </w:pPr>
      <w:r>
        <w:t>19. Phase 2 — Defaulted Exposure 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Defaulted exposure %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Total exposure</w:t>
            </w:r>
          </w:p>
        </w:tc>
        <w:tc>
          <w:tcPr>
            <w:tcW w:type="dxa" w:w="1704"/>
          </w:tcPr>
          <w:p>
            <w:r>
              <w:rPr>
                <w:b/>
                <w:sz w:val="16"/>
              </w:rPr>
              <w:t>Defaulted exposure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402,123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19.09%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$6,005,718,350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$1,146,312,225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304,695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24.16%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$4,580,578,225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$1,106,814,750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92,826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30.90%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$1,335,570,250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$412,676,875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159,166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16.77%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$2,172,625,625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$364,300,800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101,146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26.80%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$1,286,759,150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$344,912,175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70,656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33.53%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$916,428,875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$307,272,125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44,597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22.33%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$520,367,225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$116,222,700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21,042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40.15%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$266,521,275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$107,007,200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54,111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9.80%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$845,243,775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$82,806,900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32,128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12.76%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$497,648,275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$63,490,550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35,159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11.18%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$519,372,200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$58,046,525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5,073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31.38%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$89,427,250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$28,060,750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7,832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17.62%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$115,568,875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$20,358,150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6,252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7.56%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$99,099,850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$7,491,675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1,065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41.22%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$16,436,000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$6,775,475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5,850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7.36%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$89,176,225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$6,566,725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2,693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9.45%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$40,287,875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$3,807,975</w:t>
            </w:r>
          </w:p>
        </w:tc>
      </w:tr>
    </w:tbl>
    <w:p>
      <w:r>
        <w:t>Defaulted exposure % differs from default rate because one is based on loan dollars and the other on loan counts. Fair + High is 36.44% default rate but 40.15% defaulted exposure %.</w:t>
      </w:r>
    </w:p>
    <w:p>
      <w:pPr>
        <w:pStyle w:val="Heading1"/>
      </w:pPr>
      <w:r>
        <w:t>20. Phase 2 — Risk vs Portfolio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1278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1278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1278"/>
          </w:tcPr>
          <w:p>
            <w:r>
              <w:rPr>
                <w:b/>
                <w:sz w:val="16"/>
              </w:rPr>
              <w:t>Default rate</w:t>
            </w:r>
          </w:p>
        </w:tc>
        <w:tc>
          <w:tcPr>
            <w:tcW w:type="dxa" w:w="1278"/>
          </w:tcPr>
          <w:p>
            <w:r>
              <w:rPr>
                <w:b/>
                <w:sz w:val="16"/>
              </w:rPr>
              <w:t>Risk vs portfolio</w:t>
            </w:r>
          </w:p>
        </w:tc>
        <w:tc>
          <w:tcPr>
            <w:tcW w:type="dxa" w:w="1278"/>
          </w:tcPr>
          <w:p>
            <w:r>
              <w:rPr>
                <w:b/>
                <w:sz w:val="16"/>
              </w:rPr>
              <w:t>Exposure share</w:t>
            </w:r>
          </w:p>
        </w:tc>
        <w:tc>
          <w:tcPr>
            <w:tcW w:type="dxa" w:w="1278"/>
          </w:tcPr>
          <w:p>
            <w:r>
              <w:rPr>
                <w:b/>
                <w:sz w:val="16"/>
              </w:rPr>
              <w:t>Total exposure</w:t>
            </w:r>
          </w:p>
        </w:tc>
        <w:tc>
          <w:tcPr>
            <w:tcW w:type="dxa" w:w="1278"/>
          </w:tcPr>
          <w:p>
            <w:r>
              <w:rPr>
                <w:b/>
                <w:sz w:val="16"/>
              </w:rPr>
              <w:t>Defaulted exposure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1,065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39.44%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1.97×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0.08%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$16,436,000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$6,775,475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21,042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36.44%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1.82×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1.37%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$266,521,275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$107,007,200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70,656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30.55%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1.53×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4.72%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$916,428,875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$307,272,125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Very High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5,073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30.36%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1.52×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0.46%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$89,427,250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$28,060,750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92,826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28.65%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1.43×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6.88%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$1,335,570,250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$412,676,875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101,146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24.09%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1.21×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6.63%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$1,286,759,150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$344,912,175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304,695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22.66%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1.13×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23.59%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$4,580,578,225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$1,106,814,750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Fair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44,597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19.50%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0.98×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2.68%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$520,367,225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$116,222,700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402,123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17.70%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0.89×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30.93%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$6,005,718,350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$1,146,312,225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7,832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16.57%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0.83×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0.60%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$115,568,875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$20,358,150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159,166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15.17%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0.76×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11.19%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$2,172,625,625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$364,300,800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32,128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11.80%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0.59×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2.56%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$497,648,275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$63,490,550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35,159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9.04%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0.45×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2.67%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$519,372,200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$58,046,525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Very Good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54,111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8.58%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0.43×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4.35%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$845,243,775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$82,806,900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2,693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8.28%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0.41×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0.21%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$40,287,875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$3,807,975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5,850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5.81%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0.29×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0.46%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$89,176,225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$6,566,725</w:t>
            </w:r>
          </w:p>
        </w:tc>
      </w:tr>
      <w:tr>
        <w:tc>
          <w:tcPr>
            <w:tcW w:type="dxa" w:w="1278"/>
          </w:tcPr>
          <w:p>
            <w:r>
              <w:rPr>
                <w:sz w:val="16"/>
              </w:rPr>
              <w:t>Excellent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Very Low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6,252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5.87%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0.29×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0.51%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$99,099,850</w:t>
            </w:r>
          </w:p>
        </w:tc>
        <w:tc>
          <w:tcPr>
            <w:tcW w:type="dxa" w:w="1278"/>
          </w:tcPr>
          <w:p>
            <w:r>
              <w:rPr>
                <w:sz w:val="16"/>
              </w:rPr>
              <w:t>$7,491,675</w:t>
            </w:r>
          </w:p>
        </w:tc>
      </w:tr>
    </w:tbl>
    <w:p>
      <w:r>
        <w:t>Risk vs portfolio = profile default rate divided by 19.98%. Example: 39.44% / 19.98% ≈ 1.97×.</w:t>
      </w:r>
    </w:p>
    <w:p>
      <w:pPr>
        <w:pStyle w:val="Heading1"/>
      </w:pPr>
      <w:r>
        <w:t>21. ML Preparation — Target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  <w:sz w:val="16"/>
              </w:rPr>
              <w:t>Default</w:t>
            </w:r>
          </w:p>
        </w:tc>
        <w:tc>
          <w:tcPr>
            <w:tcW w:type="dxa" w:w="3408"/>
          </w:tcPr>
          <w:p>
            <w:r>
              <w:rPr>
                <w:b/>
                <w:sz w:val="16"/>
              </w:rPr>
              <w:t>Loans</w:t>
            </w:r>
          </w:p>
        </w:tc>
        <w:tc>
          <w:tcPr>
            <w:tcW w:type="dxa" w:w="3408"/>
          </w:tcPr>
          <w:p>
            <w:r>
              <w:rPr>
                <w:b/>
                <w:sz w:val="16"/>
              </w:rPr>
              <w:t>Percentage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1,078,432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80.02%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269,249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19.98%</w:t>
            </w:r>
          </w:p>
        </w:tc>
      </w:tr>
    </w:tbl>
    <w:p>
      <w:r>
        <w:t>The target is approximately 80/20, so class imbalance must be considered when training and evaluating the model.</w:t>
      </w:r>
    </w:p>
    <w:p>
      <w:pPr>
        <w:pStyle w:val="Heading1"/>
      </w:pPr>
      <w:r>
        <w:t>22. ML Preparation — Missingness</w:t>
      </w:r>
    </w:p>
    <w:p>
      <w:r>
        <w:t>The executed missingness query returned 1,347,681 total rows and zero SQL NULLs for all checked candidate fields: fico_n, dti_n, loan_amnt, purpose, emp_length, home_ownership_n, addr_state, and issue_d. The displayed missing percentages were 0.00%.</w:t>
      </w:r>
    </w:p>
    <w:p>
      <w:r>
        <w:t>Important: emp_length still contains an N/A category in the data. That is not a SQL NULL and should be treated as missing/unknown rather than as a real employment-length category.</w:t>
      </w:r>
    </w:p>
    <w:p>
      <w:pPr>
        <w:pStyle w:val="Heading1"/>
      </w:pPr>
      <w:r>
        <w:t>23. ML Preparation — Loan-Level Dataset Extraction</w:t>
      </w:r>
    </w:p>
    <w:p>
      <w:r>
        <w:t>The final SQL query selected id, fico_n, dti_n, loan_amnt, purpose, emp_length, home_ownership_n, addr_state, issue_d, and Default from credit_risk.loans. Workbench displayed 1,000 rows because the result-grid limit was 1,000; the query is intended to extract the underlying loan-level dataset.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022"/>
          </w:tcPr>
          <w:p>
            <w:r>
              <w:rPr>
                <w:b/>
                <w:sz w:val="16"/>
              </w:rPr>
              <w:t>Example ID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FICO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DTI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Loan amount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Employment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Home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State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Issue date</w:t>
            </w:r>
          </w:p>
        </w:tc>
        <w:tc>
          <w:tcPr>
            <w:tcW w:type="dxa" w:w="1022"/>
          </w:tcPr>
          <w:p>
            <w:r>
              <w:rPr>
                <w:b/>
                <w:sz w:val="16"/>
              </w:rPr>
              <w:t>Default</w:t>
            </w:r>
          </w:p>
        </w:tc>
      </w:tr>
      <w:tr>
        <w:tc>
          <w:tcPr>
            <w:tcW w:type="dxa" w:w="1022"/>
          </w:tcPr>
          <w:p>
            <w:r>
              <w:rPr>
                <w:sz w:val="16"/>
              </w:rPr>
              <w:t>54734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737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19.48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25000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debt_consolidation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&lt;1 year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RENT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CA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Aug-2009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22"/>
          </w:tcPr>
          <w:p>
            <w:r>
              <w:rPr>
                <w:sz w:val="16"/>
              </w:rPr>
              <w:t>55521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642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23.84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debt_consolidation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&lt;1 year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RENT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IL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Jul-2008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22"/>
          </w:tcPr>
          <w:p>
            <w:r>
              <w:rPr>
                <w:sz w:val="16"/>
              </w:rPr>
              <w:t>55716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667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16.96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3500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debt_consolidation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&lt;1 year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RENT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WA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Aug-2016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22"/>
          </w:tcPr>
          <w:p>
            <w:r>
              <w:rPr>
                <w:sz w:val="16"/>
              </w:rPr>
              <w:t>55742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707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14.29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7000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credit_card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&lt;1 year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RENT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NY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May-2008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22"/>
          </w:tcPr>
          <w:p>
            <w:r>
              <w:rPr>
                <w:sz w:val="16"/>
              </w:rPr>
              <w:t>56121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707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10.84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8000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home_improvement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10+ years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MORTGAGE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NE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Jan-2016</w:t>
            </w:r>
          </w:p>
        </w:tc>
        <w:tc>
          <w:tcPr>
            <w:tcW w:type="dxa" w:w="1022"/>
          </w:tcPr>
          <w:p>
            <w:r>
              <w:rPr>
                <w:sz w:val="16"/>
              </w:rPr>
              <w:t>1</w:t>
            </w:r>
          </w:p>
        </w:tc>
      </w:tr>
    </w:tbl>
    <w:p>
      <w:pPr>
        <w:pStyle w:val="Heading1"/>
      </w:pPr>
      <w:r>
        <w:t>24. What the SQL Findings Are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  <w:sz w:val="16"/>
              </w:rPr>
              <w:t>Layer</w:t>
            </w:r>
          </w:p>
        </w:tc>
        <w:tc>
          <w:tcPr>
            <w:tcW w:type="dxa" w:w="5112"/>
          </w:tcPr>
          <w:p>
            <w:r>
              <w:rPr>
                <w:b/>
                <w:sz w:val="16"/>
              </w:rPr>
              <w:t>Purpose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SQL / EDA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Understand historical risk relationships in the portfolio.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Risk intelligence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Identify risk profiles, exposure concentration, and financial priority.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ML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 individual loan features to predict Default for a loan.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Power BI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Visualize SQL findings now, then add ML predictions later.</w:t>
            </w:r>
          </w:p>
        </w:tc>
      </w:tr>
    </w:tbl>
    <w:p>
      <w:r>
        <w:t>The aggregated SQL outputs are not fed directly into ML. The ML model will train on the underlying loan-level observations. The SQL findings guide feature selection, transformation, and interpretation.</w:t>
      </w:r>
    </w:p>
    <w:p>
      <w:pPr>
        <w:pStyle w:val="Heading1"/>
      </w:pPr>
      <w:r>
        <w:t>25. Current Candidate ML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5112"/>
          </w:tcPr>
          <w:p>
            <w:r>
              <w:rPr>
                <w:b/>
                <w:sz w:val="16"/>
              </w:rPr>
              <w:t>Reason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fico_n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Strong observed relationship with default.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dti_n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Strong observed relationship with default.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loan_amnt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Higher loan-size bands showed higher observed default.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purpose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Meaningful differences in default rate and exposure.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emp_length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Weaker relationship; should be evaluated rather than assumed useful.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home_ownership_n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Observed differences across ownership groups.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addr_state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Observed geographic variation.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issue_d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Observed temporal variation; likely transformed into useful date features.</w:t>
            </w:r>
          </w:p>
        </w:tc>
      </w:tr>
    </w:tbl>
    <w:p>
      <w:r>
        <w:t>FICO × DTI is evidence that interactions matter. We can let the ML model learn interactions or engineer selected interaction features later.</w:t>
      </w:r>
    </w:p>
    <w:p>
      <w:pPr>
        <w:pStyle w:val="Heading1"/>
      </w:pPr>
      <w:r>
        <w:t>26. Core Findings — One-Page Memory</w:t>
      </w:r>
    </w:p>
    <w:p>
      <w:pPr>
        <w:pStyle w:val="ListBullet"/>
      </w:pPr>
      <w:r>
        <w:t>Portfolio: 1,347,681 loans | $19.42B exposure | 269,249 defaults | 19.98% default rate.</w:t>
      </w:r>
    </w:p>
    <w:p>
      <w:pPr>
        <w:pStyle w:val="ListBullet"/>
      </w:pPr>
      <w:r>
        <w:t>Fair FICO: 26.30% default; Excellent FICO: 6.41%.</w:t>
      </w:r>
    </w:p>
    <w:p>
      <w:pPr>
        <w:pStyle w:val="ListBullet"/>
      </w:pPr>
      <w:r>
        <w:t>Very High DTI: 30.67%; Very Low DTI: 14.84%.</w:t>
      </w:r>
    </w:p>
    <w:p>
      <w:pPr>
        <w:pStyle w:val="ListBullet"/>
      </w:pPr>
      <w:r>
        <w:t>20K+ loans: 22.91% default and ~$9.54B exposure.</w:t>
      </w:r>
    </w:p>
    <w:p>
      <w:pPr>
        <w:pStyle w:val="ListBullet"/>
      </w:pPr>
      <w:r>
        <w:t>Small business: 29.86% default; debt consolidation: $11.893B exposure.</w:t>
      </w:r>
    </w:p>
    <w:p>
      <w:pPr>
        <w:pStyle w:val="ListBullet"/>
      </w:pPr>
      <w:r>
        <w:t>Fair + Very High DTI: 39.44% default rate.</w:t>
      </w:r>
    </w:p>
    <w:p>
      <w:pPr>
        <w:pStyle w:val="ListBullet"/>
      </w:pPr>
      <w:r>
        <w:t>Excellent + Low DTI: 5.81% default rate.</w:t>
      </w:r>
    </w:p>
    <w:p>
      <w:pPr>
        <w:pStyle w:val="ListBullet"/>
      </w:pPr>
      <w:r>
        <w:t>Good + Low: 30.93% of portfolio exposure and $1.146B defaulted exposure.</w:t>
      </w:r>
    </w:p>
    <w:p>
      <w:pPr>
        <w:pStyle w:val="ListBullet"/>
      </w:pPr>
      <w:r>
        <w:t>Good + Moderate: 23.59% of portfolio exposure and $1.107B defaulted exposure.</w:t>
      </w:r>
    </w:p>
    <w:p>
      <w:pPr>
        <w:pStyle w:val="ListBullet"/>
      </w:pPr>
      <w:r>
        <w:t>Good + Low + Good + Moderate = 54.52% of portfolio exposure.</w:t>
      </w:r>
    </w:p>
    <w:p>
      <w:pPr>
        <w:pStyle w:val="ListBullet"/>
      </w:pPr>
      <w:r>
        <w:t>Fair + Very High is the highest-risk profile but only 0.08% of portfolio exposure.</w:t>
      </w:r>
    </w:p>
    <w:p>
      <w:pPr>
        <w:pStyle w:val="ListBullet"/>
      </w:pPr>
      <w:r>
        <w:t>ML target distribution: 80.02% non-default, 19.98% default.</w:t>
      </w:r>
    </w:p>
    <w:p>
      <w:pPr>
        <w:pStyle w:val="ListBullet"/>
      </w:pPr>
      <w:r>
        <w:t>Checked ML candidate columns contain zero SQL NULLs; emp_length still has N/A as an unknown category.</w:t>
      </w:r>
    </w:p>
    <w:p>
      <w:pPr>
        <w:pStyle w:val="ListBullet"/>
      </w:pPr>
      <w:r>
        <w:t>ML uses the individual loan-level rows; Power BI will present the analytical results and later the ML predictions.</w:t>
      </w:r>
    </w:p>
    <w:p>
      <w:pPr>
        <w:pStyle w:val="Heading1"/>
      </w:pPr>
      <w:r>
        <w:t>27. Project Architecture</w:t>
      </w:r>
    </w:p>
    <w:p>
      <w:r>
        <w:t>MySQL source → SQL/EDA → Risk Intelligence → Power BI dashboard v1 → ML feature engineering → ML model → predicted default probabilities → final Power BI Credit Risk Intelligence Platform.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