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MRM Review of Section 3</w:t>
      </w:r>
    </w:p>
    <w:p>
      <w:r>
        <w:rPr>
          <w:strike w:val="0"/>
          <w:color w:val="000000"/>
        </w:rPr>
        <w:t>SVF proof of concept proposed approach and necessary amendments</w:t>
      </w:r>
    </w:p>
    <w:p>
      <w:r>
        <w:rPr>
          <w:strike w:val="0"/>
          <w:color w:val="000000"/>
        </w:rPr>
        <w:t>Swatantra, your proposed approach broadly aligns with our requirements. Please retain it with the limited clarifications below. These apply the decisions already provided in Section 2; they do not introduce a separate project scope.</w:t>
      </w:r>
    </w:p>
    <w:p>
      <w:r>
        <w:rPr>
          <w:strike w:val="0"/>
          <w:color w:val="000000"/>
        </w:rPr>
        <w:t>Reading key: Black text reproduces your draft. Red text contains MRM additions. Red strikethrough marks wording to remove or defer. Unmarked wording remains unchanged.</w:t>
      </w:r>
    </w:p>
    <w:p>
      <w:r>
        <w:rPr>
          <w:strike w:val="0"/>
          <w:color w:val="000000"/>
        </w:rPr>
        <w:t>Based on my current understanding, I propose the following approach for the initial SVF proof of concept.</w:t>
      </w:r>
    </w:p>
    <w:p>
      <w:pPr>
        <w:pStyle w:val="Heading1"/>
      </w:pPr>
      <w:r>
        <w:t>1. Use the existing catalogue of approximately 2,000 songs.</w:t>
      </w:r>
    </w:p>
    <w:p>
      <w:r>
        <w:rPr>
          <w:strike w:val="0"/>
          <w:color w:val="000000"/>
        </w:rPr>
        <w:t>I already have a catalogue containing the internal IPRS work number and the ISRCs associated with each work. I propose importing this data into the system as the initial mapping reference. The software can use it to identify known recordings and musical works, flag previously unseen ISRCs or conflicting mappings, and send uncertain matches for manual verification. Once a mapping has been verified, the approved relationship can be saved and reused for future statements.</w:t>
      </w:r>
    </w:p>
    <w:p>
      <w:r>
        <w:rPr>
          <w:strike w:val="0"/>
          <w:color w:val="C00000"/>
        </w:rPr>
        <w:t>MRM clarification: Agreed. Use this as the initial reference, not a limit on which works can be processed. Preserve each ISRC separately. For multiple verified ISRCs linked to one work number, aggregate sound recording revenue only for matching platform, usage period, territory and currency, and count the corresponding work-level IPRS royalty once.</w:t>
      </w:r>
    </w:p>
    <w:p>
      <w:pPr>
        <w:pStyle w:val="Heading1"/>
      </w:pPr>
      <w:r>
        <w:t>2. Support two statement-upload workflows.</w:t>
      </w:r>
    </w:p>
    <w:p>
      <w:r>
        <w:rPr>
          <w:strike w:val="0"/>
          <w:color w:val="000000"/>
        </w:rPr>
        <w:t>Combined upload: Upload the client sound recording revenue statement and the corresponding IPRS statement together, validate them, and start reconciliation.</w:t>
      </w:r>
    </w:p>
    <w:p>
      <w:r>
        <w:rPr>
          <w:strike w:val="0"/>
          <w:color w:val="000000"/>
        </w:rPr>
        <w:t>Separate upload: Upload and store the client statement first. When the corresponding IPRS statement arrives, upload it separately and reconcile it against the relevant previously stored records.</w:t>
      </w:r>
    </w:p>
    <w:p>
      <w:r>
        <w:rPr>
          <w:strike w:val="0"/>
          <w:color w:val="000000"/>
        </w:rPr>
        <w:t>This will allow us to handle situations where the two statements are received at different times.</w:t>
      </w:r>
    </w:p>
    <w:p>
      <w:r>
        <w:rPr>
          <w:strike w:val="0"/>
          <w:color w:val="C00000"/>
        </w:rPr>
        <w:t>MRM clarification: Both workflows are agreed. Separate uploads must also support the reverse order: IPRS first, client statement later. For the initial SVF demonstration, start with IPRS and then upload the corresponding SVF statements. Reuse stored records without requiring repeat uploads.</w:t>
      </w:r>
    </w:p>
    <w:p>
      <w:pPr>
        <w:pStyle w:val="Heading1"/>
      </w:pPr>
      <w:r>
        <w:t>3. Store historical statements and processed records.</w:t>
      </w:r>
    </w:p>
    <w:p>
      <w:r>
        <w:rPr>
          <w:strike w:val="0"/>
          <w:color w:val="000000"/>
        </w:rPr>
        <w:t>I propose maintaining structured records of uploaded statements, including the client, platform, usage period, territory, currency, source statement reference, and relevant song identifiers. This will allow us to reuse existing data, detect duplicate uploads, and compare new statements with relevant historical records.</w:t>
      </w:r>
    </w:p>
    <w:p>
      <w:r>
        <w:rPr>
          <w:strike w:val="0"/>
          <w:color w:val="C00000"/>
        </w:rPr>
        <w:t>MRM clarification: Agreed. Store all available statement fields in the client account. Here, use of historical records means retrieving matching usage records and checking subsequent adjustments or payments for the same reconciliation. It does not mean adding a separate historical IPRS comparison feature in this phase.</w:t>
      </w:r>
    </w:p>
    <w:p>
      <w:pPr>
        <w:pStyle w:val="Heading1"/>
      </w:pPr>
      <w:r>
        <w:t>4. Implement mapping, validation, and reconciliation.</w:t>
      </w:r>
    </w:p>
    <w:p>
      <w:r>
        <w:rPr>
          <w:strike w:val="0"/>
          <w:color w:val="000000"/>
        </w:rPr>
        <w:t>Before comparing amounts, the system should validate the statements and check whether the records are sufficiently comparable. It should then calculate the observed royalty percentage and indicative variance using the benchmark and calculation rules approved by MRM. Missing records, uncertain mappings, period mismatches, and other issues should be flagged for review rather than automatically treated as confirmed underpayment.</w:t>
      </w:r>
    </w:p>
    <w:p>
      <w:r>
        <w:rPr>
          <w:strike w:val="0"/>
          <w:color w:val="C00000"/>
        </w:rPr>
        <w:t>MRM clarification: Agreed. Implement the Section 2 decisions: a configurable 4% reference benchmark for this SVF proof of concept, with source-wise matching of work/ISRC group, platform, usage period, territory and currency. Preserve the revenue basis and relevant client share; unclear cases go for review. A missing IPRS entry is a missing entry in the uploaded statements, not confirmed zero royalty. The variance remains indicative, not a confirmed amount payable.</w:t>
      </w:r>
    </w:p>
    <w:p>
      <w:pPr>
        <w:pStyle w:val="Heading1"/>
      </w:pPr>
      <w:r>
        <w:t>5. Generate the report and support follow-up.</w:t>
      </w:r>
    </w:p>
    <w:p>
      <w:r>
        <w:rPr>
          <w:strike w:val="0"/>
          <w:color w:val="000000"/>
        </w:rPr>
        <w:t>The system should produce a song-wise report containing the relevant identifiers, client revenue, IPRS royalty, observed percentage, applicable benchmark, indicative variance, mapping status, and source references. After verification and approval, the report can be used to prepare the IPRS enquiry and track the subsequent response and resolution.</w:t>
      </w:r>
    </w:p>
    <w:p>
      <w:r>
        <w:rPr>
          <w:strike w:val="0"/>
          <w:color w:val="C00000"/>
        </w:rPr>
        <w:t>MRM clarification: Agreed. Include client/label/publisher, platform, usage period, territory and currency in the report context, with one comparison row per work and matching usage scope. Show linked ISRC detail where required. Generate the draft enquiry and supporting report in Durga's review queue, with Devi's oversight and a review notification. Before sending, recheck mapping and any subsequent statement, payment or adjustment that may have resolved the difference. Durga selects the recipient and sends after verification; unchecked reports must not be sent automatically. Record responses, follow-up dates and any confirmed correction or additional royalty until closure. Repeat monthly as statements become available.</w:t>
      </w:r>
    </w:p>
    <w:p>
      <w:pPr>
        <w:pStyle w:val="Heading1"/>
      </w:pPr>
      <w:r>
        <w:t>6. Keep historical IPRS comparison as a separate function.</w:t>
      </w:r>
    </w:p>
    <w:p>
      <w:r>
        <w:rPr>
          <w:strike/>
          <w:color w:val="C00000"/>
        </w:rPr>
        <w:t>The system can also compare a new IPRS statement with earlier IPRS statements. However, I propose treating this as a separate workflow so that changes between statements are not confused with the primary revenue reconciliation or automatically treated as confirmed payments.</w:t>
      </w:r>
    </w:p>
    <w:p>
      <w:r>
        <w:rPr>
          <w:strike w:val="0"/>
          <w:color w:val="C00000"/>
        </w:rPr>
        <w:t>MRM clarification: Defer this separate function; it is not required for the initial proof of concept. Retain historical storage under Point 3 and the subsequent-statement/payment check under Point 5. Those checks remain part of the core reconciliation, not a separate analytics feature.</w:t>
      </w:r>
    </w:p>
    <w:p>
      <w:r>
        <w:rPr>
          <w:strike w:val="0"/>
          <w:color w:val="000000"/>
        </w:rPr>
        <w:t>I have attached the proposed workflow diagram to make the process easier to review. Once I receive clarification on the above questions, I will refine the workflow, finalise the database structure and calculation rules, and share the updated technical approach before proceeding with the remaining implementation.</w:t>
      </w:r>
    </w:p>
    <w:p>
      <w:r>
        <w:rPr>
          <w:strike w:val="0"/>
          <w:color w:val="C00000"/>
        </w:rPr>
        <w:t>MRM clarification: Please incorporate our Section 2 answers and the above amendments into the revised workflow and technical approach. There is no need to reproduce the seven clarification answers again in this section.</w:t>
      </w:r>
    </w:p>
    <w:p>
      <w:pPr>
        <w:pStyle w:val="Heading1"/>
      </w:pPr>
      <w:r>
        <w:t>Estimated timeline</w:t>
      </w:r>
    </w:p>
    <w:p>
      <w:r>
        <w:rPr>
          <w:strike w:val="0"/>
          <w:color w:val="000000"/>
        </w:rPr>
        <w:t>I propose targeting Friday, 23 October 2026, for an initial working version of the SVF proof of concept, subject to timely confirmation of the requirements and availability of the required sample statements. The initial version would focus on the agreed core workflow; additional platform support and production-level enhancements can be planned after validation.</w:t>
      </w:r>
    </w:p>
    <w:p>
      <w:r>
        <w:rPr>
          <w:strike w:val="0"/>
          <w:color w:val="C00000"/>
        </w:rPr>
        <w:t>MRM clarification: Please confirm whether this proposed date remains achievable after incorporating the clarifications, and identify any outstanding sample statements or decisions needed from us. This review does not confirm the delivery date on your behalf.</w:t>
      </w:r>
    </w:p>
    <w:p>
      <w:r>
        <w:rPr>
          <w:strike w:val="0"/>
          <w:color w:val="000000"/>
        </w:rPr>
        <w:t>Please let me know if this approach aligns with your expectations or if any changes are required.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