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eastAsia="Arial" w:cs="Arial"/>
          <w:b/>
          <w:bCs/>
          <w:color w:val="1A3A6E"/>
          <w:sz w:val="64"/>
          <w:szCs w:val="64"/>
        </w:rPr>
        <w:t>TransferIQ</w:t>
      </w:r>
    </w:p>
    <w:p>
      <w:pPr>
        <w:pStyle w:val="Normal"/>
        <w:spacing w:before="0" w:after="400"/>
        <w:jc w:val="center"/>
        <w:rPr/>
      </w:pPr>
      <w:r>
        <w:rPr>
          <w:rFonts w:eastAsia="Arial" w:cs="Arial"/>
          <w:color w:val="1A5EBE"/>
          <w:sz w:val="28"/>
          <w:szCs w:val="28"/>
        </w:rPr>
        <w:t>Dynamic Player Transfer Value Prediction using AI and Multi-source Data</w:t>
      </w:r>
    </w:p>
    <w:p>
      <w:pPr>
        <w:pStyle w:val="Normal"/>
        <w:spacing w:before="0" w:after="120"/>
        <w:jc w:val="center"/>
        <w:rPr/>
      </w:pPr>
      <w:r>
        <w:rPr>
          <w:rFonts w:eastAsia="Arial" w:cs="Arial"/>
          <w:color w:val="4A5568"/>
          <w:sz w:val="22"/>
          <w:szCs w:val="22"/>
        </w:rPr>
        <w:t>Final Project Report  ·  Week 8</w:t>
      </w:r>
    </w:p>
    <w:p>
      <w:pPr>
        <w:pStyle w:val="Normal"/>
        <w:jc w:val="center"/>
        <w:rPr/>
      </w:pPr>
      <w:r>
        <w:rPr>
          <w:rFonts w:eastAsia="Arial" w:cs="Arial"/>
          <w:color w:val="4A5568"/>
          <w:sz w:val="22"/>
          <w:szCs w:val="22"/>
        </w:rPr>
        <w:t>Machine Learning &amp; Sports Analytics Internship</w:t>
      </w:r>
    </w:p>
    <w:p>
      <w:pPr>
        <w:pStyle w:val="Normal"/>
        <w:rPr/>
      </w:pPr>
      <w:r>
        <w:rPr/>
        <w:br/>
      </w:r>
    </w:p>
    <w:p>
      <w:pPr>
        <w:pStyle w:val="Heading1"/>
        <w:pBdr>
          <w:bottom w:val="single" w:sz="4" w:space="6" w:color="1A5EBE"/>
        </w:pBdr>
        <w:spacing w:before="360" w:after="180"/>
        <w:rPr/>
      </w:pPr>
      <w:r>
        <w:rPr>
          <w:rFonts w:eastAsia="Arial" w:cs="Arial" w:ascii="Arial" w:hAnsi="Arial"/>
          <w:b/>
          <w:bCs/>
          <w:color w:val="1A3A6E"/>
          <w:sz w:val="32"/>
          <w:szCs w:val="32"/>
        </w:rPr>
        <w:t>1. Executive Summary</w:t>
      </w:r>
    </w:p>
    <w:p>
      <w:pPr>
        <w:pStyle w:val="Normal"/>
        <w:spacing w:before="0" w:after="120"/>
        <w:jc w:val="both"/>
        <w:rPr/>
      </w:pPr>
      <w:r>
        <w:rPr>
          <w:rFonts w:eastAsia="Arial" w:cs="Arial"/>
          <w:color w:val="2D3748"/>
          <w:sz w:val="22"/>
          <w:szCs w:val="22"/>
        </w:rPr>
        <w:t>TransferIQ is an AI-driven model that predicts football player transfer values by integrating multi-source data including player performance statistics, social media sentiment, injury history, and historical market data. The system was developed over 8 weeks, progressing from data collection through feature engineering, model development, ensemble construction, hyperparameter tuning, and a production web application.</w:t>
      </w:r>
    </w:p>
    <w:p>
      <w:pPr>
        <w:pStyle w:val="Normal"/>
        <w:spacing w:before="0" w:after="120"/>
        <w:jc w:val="both"/>
        <w:rPr/>
      </w:pPr>
      <w:r>
        <w:rPr>
          <w:rFonts w:eastAsia="Arial" w:cs="Arial"/>
          <w:color w:val="2D3748"/>
          <w:sz w:val="22"/>
          <w:szCs w:val="22"/>
        </w:rPr>
        <w:t>The final Weighted Ensemble model (combining Random Forest, Gradient Boosting, and Ridge Regression) achieves R² = 0.495 and RMSE = 1.053 on a held-out test set of 207 players. The model is deployed as a Flask web application, serving real-time predictions from a serialised pkl model via a REST API, with a custom predictor interface that accepts all key player attributes.</w:t>
      </w:r>
    </w:p>
    <w:p>
      <w:pPr>
        <w:pStyle w:val="Heading1"/>
        <w:pBdr>
          <w:bottom w:val="single" w:sz="4" w:space="6" w:color="1A5EBE"/>
        </w:pBdr>
        <w:spacing w:before="360" w:after="180"/>
        <w:rPr/>
      </w:pPr>
      <w:r>
        <w:rPr>
          <w:rFonts w:eastAsia="Arial" w:cs="Arial" w:ascii="Arial" w:hAnsi="Arial"/>
          <w:b/>
          <w:bCs/>
          <w:color w:val="1A3A6E"/>
          <w:sz w:val="32"/>
          <w:szCs w:val="32"/>
        </w:rPr>
        <w:t>2. Data Collection &amp; Preprocessing</w:t>
      </w:r>
    </w:p>
    <w:p>
      <w:pPr>
        <w:pStyle w:val="Heading2"/>
        <w:spacing w:before="280" w:after="120"/>
        <w:rPr/>
      </w:pPr>
      <w:r>
        <w:rPr>
          <w:rFonts w:eastAsia="Arial" w:cs="Arial" w:ascii="Arial" w:hAnsi="Arial"/>
          <w:b/>
          <w:bCs/>
          <w:color w:val="1A5EBE"/>
          <w:sz w:val="26"/>
          <w:szCs w:val="26"/>
        </w:rPr>
        <w:t>2.1 Data Sources</w:t>
      </w:r>
    </w:p>
    <w:p>
      <w:pPr>
        <w:pStyle w:val="Normal"/>
        <w:spacing w:before="0" w:after="120"/>
        <w:jc w:val="both"/>
        <w:rPr/>
      </w:pPr>
      <w:r>
        <w:rPr>
          <w:rFonts w:eastAsia="Arial" w:cs="Arial"/>
          <w:color w:val="2D3748"/>
          <w:sz w:val="22"/>
          <w:szCs w:val="22"/>
        </w:rPr>
        <w:t>Four distinct data sources were collected and integrated:</w:t>
      </w:r>
    </w:p>
    <w:p>
      <w:pPr>
        <w:pStyle w:val="ListParagraph"/>
        <w:numPr>
          <w:ilvl w:val="0"/>
          <w:numId w:val="3"/>
        </w:numPr>
        <w:spacing w:before="0" w:after="80"/>
        <w:rPr/>
      </w:pPr>
      <w:r>
        <w:rPr>
          <w:rFonts w:eastAsia="Arial" w:cs="Arial"/>
          <w:b/>
          <w:bCs/>
          <w:color w:val="1A5EBE"/>
          <w:sz w:val="22"/>
          <w:szCs w:val="22"/>
        </w:rPr>
        <w:t>StatsBomb / FIFA Stats —</w:t>
      </w:r>
      <w:r>
        <w:rPr>
          <w:rFonts w:eastAsia="Arial" w:cs="Arial"/>
          <w:color w:val="2D3748"/>
          <w:sz w:val="22"/>
          <w:szCs w:val="22"/>
        </w:rPr>
        <w:t xml:space="preserve"> Player Performance Data: FIFA player statistics dataset covering 1,034 players, including 23 attributes such as Overall Rating (OVA), positional attributes, physical measurements, and contract information.</w:t>
      </w:r>
    </w:p>
    <w:p>
      <w:pPr>
        <w:pStyle w:val="ListParagraph"/>
        <w:numPr>
          <w:ilvl w:val="0"/>
          <w:numId w:val="1"/>
        </w:numPr>
        <w:spacing w:before="0" w:after="80"/>
        <w:rPr/>
      </w:pPr>
      <w:r>
        <w:rPr>
          <w:rFonts w:eastAsia="Arial" w:cs="Arial"/>
          <w:b/>
          <w:bCs/>
          <w:color w:val="1A5EBE"/>
          <w:sz w:val="22"/>
          <w:szCs w:val="22"/>
        </w:rPr>
        <w:t>Market Values —</w:t>
      </w:r>
      <w:r>
        <w:rPr>
          <w:rFonts w:eastAsia="Arial" w:cs="Arial"/>
          <w:color w:val="2D3748"/>
          <w:sz w:val="22"/>
          <w:szCs w:val="22"/>
        </w:rPr>
        <w:t xml:space="preserve"> Market Value Data: Transfermarkt-sourced historical market values spanning 2009–2021, comprising 6,043 records across 889 unique players.</w:t>
      </w:r>
    </w:p>
    <w:p>
      <w:pPr>
        <w:pStyle w:val="ListParagraph"/>
        <w:numPr>
          <w:ilvl w:val="0"/>
          <w:numId w:val="1"/>
        </w:numPr>
        <w:spacing w:before="0" w:after="80"/>
        <w:rPr/>
      </w:pPr>
      <w:r>
        <w:rPr>
          <w:rFonts w:eastAsia="Arial" w:cs="Arial"/>
          <w:b/>
          <w:bCs/>
          <w:color w:val="1A5EBE"/>
          <w:sz w:val="22"/>
          <w:szCs w:val="22"/>
        </w:rPr>
        <w:t>Social Media Sentiment —</w:t>
      </w:r>
      <w:r>
        <w:rPr>
          <w:rFonts w:eastAsia="Arial" w:cs="Arial"/>
          <w:color w:val="2D3748"/>
          <w:sz w:val="22"/>
          <w:szCs w:val="22"/>
        </w:rPr>
        <w:t xml:space="preserve"> Sentiment Analysis: 1,069 sentiment records for 407 players derived from social media data, scored using VADER NLP with positive, neutral, and negative labels.</w:t>
      </w:r>
    </w:p>
    <w:p>
      <w:pPr>
        <w:pStyle w:val="ListParagraph"/>
        <w:numPr>
          <w:ilvl w:val="0"/>
          <w:numId w:val="1"/>
        </w:numPr>
        <w:spacing w:before="0" w:after="80"/>
        <w:rPr/>
      </w:pPr>
      <w:r>
        <w:rPr>
          <w:rFonts w:eastAsia="Arial" w:cs="Arial"/>
          <w:b/>
          <w:bCs/>
          <w:color w:val="1A5EBE"/>
          <w:sz w:val="22"/>
          <w:szCs w:val="22"/>
        </w:rPr>
        <w:t>Injury Records —</w:t>
      </w:r>
      <w:r>
        <w:rPr>
          <w:rFonts w:eastAsia="Arial" w:cs="Arial"/>
          <w:color w:val="2D3748"/>
          <w:sz w:val="22"/>
          <w:szCs w:val="22"/>
        </w:rPr>
        <w:t xml:space="preserve"> Injury History: 9,553 injury records covering 1,034 players including injury type, dates, days missed, and games missed.</w:t>
      </w:r>
    </w:p>
    <w:p>
      <w:pPr>
        <w:pStyle w:val="Normal"/>
        <w:spacing w:before="0" w:after="120"/>
        <w:rPr/>
      </w:pPr>
      <w:r>
        <w:rPr/>
      </w:r>
    </w:p>
    <w:p>
      <w:pPr>
        <w:pStyle w:val="Heading2"/>
        <w:spacing w:before="280" w:after="120"/>
        <w:rPr/>
      </w:pPr>
      <w:r>
        <w:rPr>
          <w:rFonts w:eastAsia="Arial" w:cs="Arial" w:ascii="Arial" w:hAnsi="Arial"/>
          <w:b/>
          <w:bCs/>
          <w:color w:val="1A5EBE"/>
          <w:sz w:val="26"/>
          <w:szCs w:val="26"/>
        </w:rPr>
        <w:t>2.2 Data Cleaning</w:t>
      </w:r>
    </w:p>
    <w:p>
      <w:pPr>
        <w:pStyle w:val="Normal"/>
        <w:spacing w:before="0" w:after="120"/>
        <w:jc w:val="both"/>
        <w:rPr/>
      </w:pPr>
      <w:r>
        <w:rPr>
          <w:rFonts w:eastAsia="Arial" w:cs="Arial"/>
          <w:color w:val="2D3748"/>
          <w:sz w:val="22"/>
          <w:szCs w:val="22"/>
        </w:rPr>
        <w:t>Key preprocessing steps included:</w:t>
      </w:r>
    </w:p>
    <w:p>
      <w:pPr>
        <w:pStyle w:val="ListParagraph"/>
        <w:numPr>
          <w:ilvl w:val="0"/>
          <w:numId w:val="1"/>
        </w:numPr>
        <w:spacing w:before="0" w:after="80"/>
        <w:rPr/>
      </w:pPr>
      <w:r>
        <w:rPr>
          <w:rFonts w:eastAsia="Arial" w:cs="Arial"/>
          <w:color w:val="2D3748"/>
          <w:sz w:val="22"/>
          <w:szCs w:val="22"/>
        </w:rPr>
        <w:t>Height conversion from feet/inches to centimetres, weight from lbs to kilograms.</w:t>
      </w:r>
    </w:p>
    <w:p>
      <w:pPr>
        <w:pStyle w:val="ListParagraph"/>
        <w:numPr>
          <w:ilvl w:val="0"/>
          <w:numId w:val="1"/>
        </w:numPr>
        <w:spacing w:before="0" w:after="80"/>
        <w:rPr/>
      </w:pPr>
      <w:r>
        <w:rPr>
          <w:rFonts w:eastAsia="Arial" w:cs="Arial"/>
          <w:color w:val="2D3748"/>
          <w:sz w:val="22"/>
          <w:szCs w:val="22"/>
        </w:rPr>
        <w:t>101 missing end_date values in injury records were imputed using from_date + days_missed.</w:t>
      </w:r>
    </w:p>
    <w:p>
      <w:pPr>
        <w:pStyle w:val="ListParagraph"/>
        <w:numPr>
          <w:ilvl w:val="0"/>
          <w:numId w:val="1"/>
        </w:numPr>
        <w:spacing w:before="0" w:after="80"/>
        <w:rPr/>
      </w:pPr>
      <w:r>
        <w:rPr>
          <w:rFonts w:eastAsia="Arial" w:cs="Arial"/>
          <w:color w:val="2D3748"/>
          <w:sz w:val="22"/>
          <w:szCs w:val="22"/>
        </w:rPr>
        <w:t>6 missing Club and Joined entries filled with "Unknown" and median values respectively.</w:t>
      </w:r>
    </w:p>
    <w:p>
      <w:pPr>
        <w:pStyle w:val="ListParagraph"/>
        <w:numPr>
          <w:ilvl w:val="0"/>
          <w:numId w:val="1"/>
        </w:numPr>
        <w:spacing w:before="0" w:after="80"/>
        <w:rPr/>
      </w:pPr>
      <w:r>
        <w:rPr>
          <w:rFonts w:eastAsia="Arial" w:cs="Arial"/>
          <w:color w:val="2D3748"/>
          <w:sz w:val="22"/>
          <w:szCs w:val="22"/>
        </w:rPr>
        <w:t>Fuzzy name matching (difflib.get_close_matches) used to join the sentiment dataset to the player dataset by name, achieving 358/407 matches (up from 303 with exact matching).</w:t>
      </w:r>
    </w:p>
    <w:p>
      <w:pPr>
        <w:pStyle w:val="ListParagraph"/>
        <w:numPr>
          <w:ilvl w:val="0"/>
          <w:numId w:val="1"/>
        </w:numPr>
        <w:spacing w:before="0" w:after="80"/>
        <w:rPr/>
      </w:pPr>
      <w:r>
        <w:rPr>
          <w:rFonts w:eastAsia="Arial" w:cs="Arial"/>
          <w:color w:val="2D3748"/>
          <w:sz w:val="22"/>
          <w:szCs w:val="22"/>
        </w:rPr>
        <w:t>Final merged dataset: 1,034 players × 31 columns, zero missing values.</w:t>
      </w:r>
    </w:p>
    <w:p>
      <w:pPr>
        <w:pStyle w:val="Normal"/>
        <w:rPr/>
      </w:pPr>
      <w:r>
        <w:rPr/>
        <w:br/>
      </w:r>
    </w:p>
    <w:p>
      <w:pPr>
        <w:pStyle w:val="Heading1"/>
        <w:pBdr>
          <w:bottom w:val="single" w:sz="4" w:space="6" w:color="1A5EBE"/>
        </w:pBdr>
        <w:spacing w:before="360" w:after="180"/>
        <w:rPr/>
      </w:pPr>
      <w:r>
        <w:rPr>
          <w:rFonts w:eastAsia="Arial" w:cs="Arial" w:ascii="Arial" w:hAnsi="Arial"/>
          <w:b/>
          <w:bCs/>
          <w:color w:val="1A3A6E"/>
          <w:sz w:val="32"/>
          <w:szCs w:val="32"/>
        </w:rPr>
        <w:t>3. Feature Engineering</w:t>
      </w:r>
    </w:p>
    <w:p>
      <w:pPr>
        <w:pStyle w:val="Normal"/>
        <w:spacing w:before="0" w:after="120"/>
        <w:jc w:val="both"/>
        <w:rPr/>
      </w:pPr>
      <w:r>
        <w:rPr>
          <w:rFonts w:eastAsia="Arial" w:cs="Arial"/>
          <w:color w:val="2D3748"/>
          <w:sz w:val="22"/>
          <w:szCs w:val="22"/>
        </w:rPr>
        <w:t>Feature engineering was conducted across four categories, producing a final modelling dataset of 1,034 players × 44 features (selected from 69 engineered features).</w:t>
      </w:r>
    </w:p>
    <w:p>
      <w:pPr>
        <w:pStyle w:val="Heading2"/>
        <w:spacing w:before="280" w:after="120"/>
        <w:rPr/>
      </w:pPr>
      <w:r>
        <w:rPr>
          <w:rFonts w:eastAsia="Arial" w:cs="Arial" w:ascii="Arial" w:hAnsi="Arial"/>
          <w:b/>
          <w:bCs/>
          <w:color w:val="1A5EBE"/>
          <w:sz w:val="26"/>
          <w:szCs w:val="26"/>
        </w:rPr>
        <w:t>3.1 Age &amp; Career Features</w:t>
      </w:r>
    </w:p>
    <w:p>
      <w:pPr>
        <w:pStyle w:val="ListParagraph"/>
        <w:numPr>
          <w:ilvl w:val="0"/>
          <w:numId w:val="1"/>
        </w:numPr>
        <w:spacing w:before="0" w:after="80"/>
        <w:rPr/>
      </w:pPr>
      <w:r>
        <w:rPr>
          <w:rFonts w:eastAsia="Arial" w:cs="Arial"/>
          <w:color w:val="2D3748"/>
          <w:sz w:val="22"/>
          <w:szCs w:val="22"/>
        </w:rPr>
        <w:t>age_peak_diff: Distance from peak age of 26 (positive = past peak, negative = pre-peak).</w:t>
      </w:r>
    </w:p>
    <w:p>
      <w:pPr>
        <w:pStyle w:val="ListParagraph"/>
        <w:numPr>
          <w:ilvl w:val="0"/>
          <w:numId w:val="1"/>
        </w:numPr>
        <w:spacing w:before="0" w:after="80"/>
        <w:rPr/>
      </w:pPr>
      <w:r>
        <w:rPr>
          <w:rFonts w:eastAsia="Arial" w:cs="Arial"/>
          <w:color w:val="2D3748"/>
          <w:sz w:val="22"/>
          <w:szCs w:val="22"/>
        </w:rPr>
        <w:t>is_peak_age: Binary flag for players aged 23–28, the empirically observed peak transfer age range.</w:t>
      </w:r>
    </w:p>
    <w:p>
      <w:pPr>
        <w:pStyle w:val="ListParagraph"/>
        <w:numPr>
          <w:ilvl w:val="0"/>
          <w:numId w:val="1"/>
        </w:numPr>
        <w:spacing w:before="0" w:after="80"/>
        <w:rPr/>
      </w:pPr>
      <w:r>
        <w:rPr>
          <w:rFonts w:eastAsia="Arial" w:cs="Arial"/>
          <w:color w:val="2D3748"/>
          <w:sz w:val="22"/>
          <w:szCs w:val="22"/>
        </w:rPr>
        <w:t>career_stage: Five-category classification — Youth, Developing, Prime, Experienced, Veteran.</w:t>
      </w:r>
    </w:p>
    <w:p>
      <w:pPr>
        <w:pStyle w:val="ListParagraph"/>
        <w:numPr>
          <w:ilvl w:val="0"/>
          <w:numId w:val="1"/>
        </w:numPr>
        <w:spacing w:before="0" w:after="80"/>
        <w:rPr/>
      </w:pPr>
      <w:r>
        <w:rPr>
          <w:rFonts w:eastAsia="Arial" w:cs="Arial"/>
          <w:color w:val="2D3748"/>
          <w:sz w:val="22"/>
          <w:szCs w:val="22"/>
        </w:rPr>
        <w:t>potential_score: OVA × (1 + (25 - age) × 0.02) for players under 25, rewarding youth potential.</w:t>
      </w:r>
    </w:p>
    <w:p>
      <w:pPr>
        <w:pStyle w:val="Heading2"/>
        <w:spacing w:before="280" w:after="120"/>
        <w:rPr/>
      </w:pPr>
      <w:r>
        <w:rPr>
          <w:rFonts w:eastAsia="Arial" w:cs="Arial" w:ascii="Arial" w:hAnsi="Arial"/>
          <w:b/>
          <w:bCs/>
          <w:color w:val="1A5EBE"/>
          <w:sz w:val="26"/>
          <w:szCs w:val="26"/>
        </w:rPr>
        <w:t>3.2 Performance Indices</w:t>
      </w:r>
    </w:p>
    <w:p>
      <w:pPr>
        <w:pStyle w:val="ListParagraph"/>
        <w:numPr>
          <w:ilvl w:val="0"/>
          <w:numId w:val="1"/>
        </w:numPr>
        <w:spacing w:before="0" w:after="80"/>
        <w:rPr/>
      </w:pPr>
      <w:r>
        <w:rPr>
          <w:rFonts w:eastAsia="Arial" w:cs="Arial"/>
          <w:color w:val="2D3748"/>
          <w:sz w:val="22"/>
          <w:szCs w:val="22"/>
        </w:rPr>
        <w:t>performance_score: Composite of OVA (40%), Attacking (20%), Skill (20%), Movement (20%).</w:t>
      </w:r>
    </w:p>
    <w:p>
      <w:pPr>
        <w:pStyle w:val="ListParagraph"/>
        <w:numPr>
          <w:ilvl w:val="0"/>
          <w:numId w:val="1"/>
        </w:numPr>
        <w:spacing w:before="0" w:after="80"/>
        <w:rPr/>
      </w:pPr>
      <w:r>
        <w:rPr>
          <w:rFonts w:eastAsia="Arial" w:cs="Arial"/>
          <w:color w:val="2D3748"/>
          <w:sz w:val="22"/>
          <w:szCs w:val="22"/>
        </w:rPr>
        <w:t>physical_index: Mean of Acceleration, Strength, Jumping, Stamina.</w:t>
      </w:r>
    </w:p>
    <w:p>
      <w:pPr>
        <w:pStyle w:val="ListParagraph"/>
        <w:numPr>
          <w:ilvl w:val="0"/>
          <w:numId w:val="1"/>
        </w:numPr>
        <w:spacing w:before="0" w:after="80"/>
        <w:rPr/>
      </w:pPr>
      <w:r>
        <w:rPr>
          <w:rFonts w:eastAsia="Arial" w:cs="Arial"/>
          <w:color w:val="2D3748"/>
          <w:sz w:val="22"/>
          <w:szCs w:val="22"/>
        </w:rPr>
        <w:t>technical_index: Mean of Short Passing, Shot Power, Heading Accuracy.</w:t>
      </w:r>
    </w:p>
    <w:p>
      <w:pPr>
        <w:pStyle w:val="ListParagraph"/>
        <w:numPr>
          <w:ilvl w:val="0"/>
          <w:numId w:val="1"/>
        </w:numPr>
        <w:spacing w:before="0" w:after="80"/>
        <w:rPr/>
      </w:pPr>
      <w:r>
        <w:rPr>
          <w:rFonts w:eastAsia="Arial" w:cs="Arial"/>
          <w:color w:val="2D3748"/>
          <w:sz w:val="22"/>
          <w:szCs w:val="22"/>
        </w:rPr>
        <w:t>injury_adj_performance: performance_score × availability_score.</w:t>
      </w:r>
    </w:p>
    <w:p>
      <w:pPr>
        <w:pStyle w:val="Heading2"/>
        <w:spacing w:before="280" w:after="120"/>
        <w:rPr/>
      </w:pPr>
      <w:r>
        <w:rPr>
          <w:rFonts w:eastAsia="Arial" w:cs="Arial" w:ascii="Arial" w:hAnsi="Arial"/>
          <w:b/>
          <w:bCs/>
          <w:color w:val="1A5EBE"/>
          <w:sz w:val="26"/>
          <w:szCs w:val="26"/>
        </w:rPr>
        <w:t>3.3 Market &amp; Sentiment Features</w:t>
      </w:r>
    </w:p>
    <w:p>
      <w:pPr>
        <w:pStyle w:val="ListParagraph"/>
        <w:numPr>
          <w:ilvl w:val="0"/>
          <w:numId w:val="1"/>
        </w:numPr>
        <w:spacing w:before="0" w:after="80"/>
        <w:rPr/>
      </w:pPr>
      <w:r>
        <w:rPr>
          <w:rFonts w:eastAsia="Arial" w:cs="Arial"/>
          <w:color w:val="2D3748"/>
          <w:sz w:val="22"/>
          <w:szCs w:val="22"/>
        </w:rPr>
        <w:t>avg_growth_rate: Season-over-season percentage change in market value, averaged per player.</w:t>
      </w:r>
    </w:p>
    <w:p>
      <w:pPr>
        <w:pStyle w:val="ListParagraph"/>
        <w:numPr>
          <w:ilvl w:val="0"/>
          <w:numId w:val="1"/>
        </w:numPr>
        <w:spacing w:before="0" w:after="80"/>
        <w:rPr/>
      </w:pPr>
      <w:r>
        <w:rPr>
          <w:rFonts w:eastAsia="Arial" w:cs="Arial"/>
          <w:color w:val="2D3748"/>
          <w:sz w:val="22"/>
          <w:szCs w:val="22"/>
        </w:rPr>
        <w:t>value_volatility: (max - min) / mean market value — captures consistency of valuation.</w:t>
      </w:r>
    </w:p>
    <w:p>
      <w:pPr>
        <w:pStyle w:val="ListParagraph"/>
        <w:numPr>
          <w:ilvl w:val="0"/>
          <w:numId w:val="1"/>
        </w:numPr>
        <w:spacing w:before="0" w:after="80"/>
        <w:rPr/>
      </w:pPr>
      <w:r>
        <w:rPr>
          <w:rFonts w:eastAsia="Arial" w:cs="Arial"/>
          <w:color w:val="2D3748"/>
          <w:sz w:val="22"/>
          <w:szCs w:val="22"/>
        </w:rPr>
        <w:t>sentiment_performance_index: performance_score × (1 + avg_sentiment × 0.1).</w:t>
      </w:r>
    </w:p>
    <w:p>
      <w:pPr>
        <w:pStyle w:val="Heading2"/>
        <w:spacing w:before="280" w:after="120"/>
        <w:rPr/>
      </w:pPr>
      <w:r>
        <w:rPr>
          <w:rFonts w:eastAsia="Arial" w:cs="Arial" w:ascii="Arial" w:hAnsi="Arial"/>
          <w:b/>
          <w:bCs/>
          <w:color w:val="1A5EBE"/>
          <w:sz w:val="26"/>
          <w:szCs w:val="26"/>
        </w:rPr>
        <w:t>3.4 LSTM Time-Series Dataset</w:t>
      </w:r>
    </w:p>
    <w:p>
      <w:pPr>
        <w:pStyle w:val="Normal"/>
        <w:spacing w:before="0" w:after="120"/>
        <w:jc w:val="both"/>
        <w:rPr/>
      </w:pPr>
      <w:r>
        <w:rPr>
          <w:rFonts w:eastAsia="Arial" w:cs="Arial"/>
          <w:color w:val="2D3748"/>
          <w:sz w:val="22"/>
          <w:szCs w:val="22"/>
        </w:rPr>
        <w:t>A separate time-series dataset was constructed for LSTM training using 3-season rolling windows, producing 975 sequences across 547 players with 3 or more seasons of market data. This dataset includes 14 features per timestep and the log-transformed market value as the target.</w:t>
      </w:r>
    </w:p>
    <w:p>
      <w:pPr>
        <w:pStyle w:val="Normal"/>
        <w:spacing w:before="0" w:after="120"/>
        <w:jc w:val="both"/>
        <w:rPr/>
      </w:pPr>
      <w:r>
        <w:rPr>
          <w:rFonts w:eastAsia="Arial" w:cs="Arial"/>
          <w:b/>
          <w:bCs/>
          <w:color w:val="1A3A6E"/>
          <w:sz w:val="32"/>
          <w:szCs w:val="32"/>
        </w:rPr>
        <w:t>4. Model Development</w:t>
      </w:r>
    </w:p>
    <w:p>
      <w:pPr>
        <w:pStyle w:val="Heading2"/>
        <w:spacing w:before="280" w:after="120"/>
        <w:rPr/>
      </w:pPr>
      <w:r>
        <w:rPr>
          <w:rFonts w:eastAsia="Arial" w:cs="Arial" w:ascii="Arial" w:hAnsi="Arial"/>
          <w:b/>
          <w:bCs/>
          <w:color w:val="1A5EBE"/>
          <w:sz w:val="26"/>
          <w:szCs w:val="26"/>
        </w:rPr>
        <w:t>4.1 LSTM Model (NumPy from Scratch)</w:t>
      </w:r>
    </w:p>
    <w:p>
      <w:pPr>
        <w:pStyle w:val="Normal"/>
        <w:spacing w:before="0" w:after="120"/>
        <w:jc w:val="both"/>
        <w:rPr/>
      </w:pPr>
      <w:r>
        <w:rPr>
          <w:rFonts w:eastAsia="Arial" w:cs="Arial"/>
          <w:color w:val="2D3748"/>
          <w:sz w:val="22"/>
          <w:szCs w:val="22"/>
        </w:rPr>
        <w:t>A Long Short-Term Memory (LSTM) network was implemented entirely from scratch using NumPy, including full Backpropagation Through Time (BPTT) with gradient clipping (threshold = 1.0). This demonstrates a thorough understanding of the LSTM mechanism without relying on deep learning frameworks.</w:t>
      </w:r>
    </w:p>
    <w:p>
      <w:pPr>
        <w:pStyle w:val="ListParagraph"/>
        <w:numPr>
          <w:ilvl w:val="0"/>
          <w:numId w:val="1"/>
        </w:numPr>
        <w:spacing w:before="0" w:after="80"/>
        <w:rPr/>
      </w:pPr>
      <w:r>
        <w:rPr>
          <w:rFonts w:eastAsia="Arial" w:cs="Arial"/>
          <w:color w:val="2D3748"/>
          <w:sz w:val="22"/>
          <w:szCs w:val="22"/>
        </w:rPr>
        <w:t>Univariate LSTM: Trained on OVA rating alone as a single feature input. Achieved R² = 0.1605.</w:t>
      </w:r>
    </w:p>
    <w:p>
      <w:pPr>
        <w:pStyle w:val="ListParagraph"/>
        <w:numPr>
          <w:ilvl w:val="0"/>
          <w:numId w:val="1"/>
        </w:numPr>
        <w:spacing w:before="0" w:after="80"/>
        <w:rPr/>
      </w:pPr>
      <w:r>
        <w:rPr>
          <w:rFonts w:eastAsia="Arial" w:cs="Arial"/>
          <w:color w:val="2D3748"/>
          <w:sz w:val="22"/>
          <w:szCs w:val="22"/>
        </w:rPr>
        <w:t>Multivariate LSTM: Trained on all 14 time-series features. Achieved R² = -0.179, indicating overfitting due to limited training sequences (780 sequences).</w:t>
      </w:r>
    </w:p>
    <w:p>
      <w:pPr>
        <w:pStyle w:val="Normal"/>
        <w:spacing w:before="0" w:after="120"/>
        <w:jc w:val="both"/>
        <w:rPr/>
      </w:pPr>
      <w:r>
        <w:rPr>
          <w:rFonts w:eastAsia="Arial" w:cs="Arial"/>
          <w:color w:val="2D3748"/>
          <w:sz w:val="22"/>
          <w:szCs w:val="22"/>
        </w:rPr>
        <w:t>The LSTM limitation highlights the importance of dataset size for sequence models — a known constraint when working with historical sports data spanning only 13 seasons.</w:t>
      </w:r>
    </w:p>
    <w:p>
      <w:pPr>
        <w:pStyle w:val="Heading2"/>
        <w:spacing w:before="280" w:after="120"/>
        <w:rPr/>
      </w:pPr>
      <w:r>
        <w:rPr>
          <w:rFonts w:eastAsia="Arial" w:cs="Arial" w:ascii="Arial" w:hAnsi="Arial"/>
          <w:b/>
          <w:bCs/>
          <w:color w:val="1A5EBE"/>
          <w:sz w:val="26"/>
          <w:szCs w:val="26"/>
        </w:rPr>
        <w:t>4.2 Ensemble Models</w:t>
      </w:r>
    </w:p>
    <w:p>
      <w:pPr>
        <w:pStyle w:val="Normal"/>
        <w:spacing w:before="0" w:after="120"/>
        <w:jc w:val="both"/>
        <w:rPr/>
      </w:pPr>
      <w:r>
        <w:rPr>
          <w:rFonts w:eastAsia="Arial" w:cs="Arial"/>
          <w:color w:val="2D3748"/>
          <w:sz w:val="22"/>
          <w:szCs w:val="22"/>
        </w:rPr>
        <w:t>Three ensemble-friendly models were trained on the full static feature set (44 features, 1,034 players):</w:t>
      </w:r>
    </w:p>
    <w:p>
      <w:pPr>
        <w:pStyle w:val="ListParagraph"/>
        <w:numPr>
          <w:ilvl w:val="0"/>
          <w:numId w:val="1"/>
        </w:numPr>
        <w:spacing w:before="0" w:after="80"/>
        <w:rPr/>
      </w:pPr>
      <w:r>
        <w:rPr>
          <w:rFonts w:eastAsia="Arial" w:cs="Arial"/>
          <w:color w:val="2D3748"/>
          <w:sz w:val="22"/>
          <w:szCs w:val="22"/>
        </w:rPr>
        <w:t>Random Forest: 300 estimators, max_depth=12, min_samples_leaf=2. R² = 0.484.</w:t>
      </w:r>
    </w:p>
    <w:p>
      <w:pPr>
        <w:pStyle w:val="ListParagraph"/>
        <w:numPr>
          <w:ilvl w:val="0"/>
          <w:numId w:val="1"/>
        </w:numPr>
        <w:spacing w:before="0" w:after="80"/>
        <w:rPr/>
      </w:pPr>
      <w:r>
        <w:rPr>
          <w:rFonts w:eastAsia="Arial" w:cs="Arial"/>
          <w:color w:val="2D3748"/>
          <w:sz w:val="22"/>
          <w:szCs w:val="22"/>
        </w:rPr>
        <w:t>Gradient Boosting: 400 estimators, max_depth=5, learning_rate=0.04, subsample=0.8. R² = 0.478.</w:t>
      </w:r>
    </w:p>
    <w:p>
      <w:pPr>
        <w:pStyle w:val="ListParagraph"/>
        <w:numPr>
          <w:ilvl w:val="0"/>
          <w:numId w:val="1"/>
        </w:numPr>
        <w:spacing w:before="0" w:after="80"/>
        <w:rPr/>
      </w:pPr>
      <w:r>
        <w:rPr>
          <w:rFonts w:eastAsia="Arial" w:cs="Arial"/>
          <w:color w:val="2D3748"/>
          <w:sz w:val="22"/>
          <w:szCs w:val="22"/>
        </w:rPr>
        <w:t>Ridge Regression: alpha=0.5. R² = 0.411.</w:t>
      </w:r>
    </w:p>
    <w:p>
      <w:pPr>
        <w:pStyle w:val="Heading2"/>
        <w:spacing w:before="280" w:after="120"/>
        <w:rPr/>
      </w:pPr>
      <w:r>
        <w:rPr>
          <w:rFonts w:eastAsia="Arial" w:cs="Arial" w:ascii="Arial" w:hAnsi="Arial"/>
          <w:b/>
          <w:bCs/>
          <w:color w:val="1A5EBE"/>
          <w:sz w:val="26"/>
          <w:szCs w:val="26"/>
        </w:rPr>
        <w:t>4.3 Weighted Ensemble (Final Model)</w:t>
      </w:r>
    </w:p>
    <w:p>
      <w:pPr>
        <w:pStyle w:val="Normal"/>
        <w:spacing w:before="0" w:after="120"/>
        <w:jc w:val="both"/>
        <w:rPr/>
      </w:pPr>
      <w:r>
        <w:rPr>
          <w:rFonts w:eastAsia="Arial" w:cs="Arial"/>
          <w:color w:val="2D3748"/>
          <w:sz w:val="22"/>
          <w:szCs w:val="22"/>
        </w:rPr>
        <w:t>The final model combines all three estimators using R²-weighted averaging — models that performed better on the validation set receive proportionally higher weights. This approach consistently outperforms any individual model.</w:t>
      </w:r>
    </w:p>
    <w:p>
      <w:pPr>
        <w:pStyle w:val="Normal"/>
        <w:spacing w:before="0" w:after="120"/>
        <w:rPr/>
      </w:pPr>
      <w:r>
        <w:rPr/>
      </w:r>
    </w:p>
    <w:p>
      <w:pPr>
        <w:pStyle w:val="Normal"/>
        <w:spacing w:before="0" w:after="120"/>
        <w:jc w:val="both"/>
        <w:rPr/>
      </w:pPr>
      <w:r>
        <w:rPr>
          <w:rFonts w:eastAsia="Arial" w:cs="Arial"/>
          <w:color w:val="2D3748"/>
          <w:sz w:val="22"/>
          <w:szCs w:val="22"/>
        </w:rPr>
        <w:t>Model comparison table:</w:t>
      </w:r>
    </w:p>
    <w:p>
      <w:pPr>
        <w:pStyle w:val="Normal"/>
        <w:spacing w:before="0" w:after="120"/>
        <w:rPr/>
      </w:pPr>
      <w:r>
        <w:rPr/>
      </w:r>
    </w:p>
    <w:tbl>
      <w:tblPr>
        <w:tblW w:w="9000" w:type="dxa"/>
        <w:jc w:val="left"/>
        <w:tblInd w:w="0" w:type="dxa"/>
        <w:tblLayout w:type="fixed"/>
        <w:tblCellMar>
          <w:top w:w="80" w:type="dxa"/>
          <w:left w:w="120" w:type="dxa"/>
          <w:bottom w:w="80" w:type="dxa"/>
          <w:right w:w="120" w:type="dxa"/>
        </w:tblCellMar>
      </w:tblPr>
      <w:tblGrid>
        <w:gridCol w:w="3539"/>
        <w:gridCol w:w="1517"/>
        <w:gridCol w:w="1516"/>
        <w:gridCol w:w="1518"/>
        <w:gridCol w:w="910"/>
      </w:tblGrid>
      <w:tr>
        <w:trPr/>
        <w:tc>
          <w:tcPr>
            <w:tcW w:w="3539"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Model</w:t>
            </w:r>
          </w:p>
        </w:tc>
        <w:tc>
          <w:tcPr>
            <w:tcW w:w="1517"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RMSE</w:t>
            </w:r>
          </w:p>
        </w:tc>
        <w:tc>
          <w:tcPr>
            <w:tcW w:w="1516"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MAE</w:t>
            </w:r>
          </w:p>
        </w:tc>
        <w:tc>
          <w:tcPr>
            <w:tcW w:w="1518"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R² Score</w:t>
            </w:r>
          </w:p>
        </w:tc>
        <w:tc>
          <w:tcPr>
            <w:tcW w:w="910"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Week</w:t>
            </w:r>
          </w:p>
        </w:tc>
      </w:tr>
      <w:tr>
        <w:trPr/>
        <w:tc>
          <w:tcPr>
            <w:tcW w:w="3539"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b w:val="false"/>
                <w:bCs w:val="false"/>
                <w:color w:val="2D3748"/>
                <w:sz w:val="20"/>
                <w:szCs w:val="20"/>
              </w:rPr>
              <w:t>Univariate LSTM</w:t>
            </w:r>
          </w:p>
        </w:tc>
        <w:tc>
          <w:tcPr>
            <w:tcW w:w="1517"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1.3077</w:t>
            </w:r>
          </w:p>
        </w:tc>
        <w:tc>
          <w:tcPr>
            <w:tcW w:w="1516"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1.0358</w:t>
            </w:r>
          </w:p>
        </w:tc>
        <w:tc>
          <w:tcPr>
            <w:tcW w:w="1518"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0.1605</w:t>
            </w:r>
          </w:p>
        </w:tc>
        <w:tc>
          <w:tcPr>
            <w:tcW w:w="91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Week 5</w:t>
            </w:r>
          </w:p>
        </w:tc>
      </w:tr>
      <w:tr>
        <w:trPr/>
        <w:tc>
          <w:tcPr>
            <w:tcW w:w="3539"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b w:val="false"/>
                <w:bCs w:val="false"/>
                <w:color w:val="2D3748"/>
                <w:sz w:val="20"/>
                <w:szCs w:val="20"/>
              </w:rPr>
              <w:t>Multivariate LSTM</w:t>
            </w:r>
          </w:p>
        </w:tc>
        <w:tc>
          <w:tcPr>
            <w:tcW w:w="1517"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1.5496</w:t>
            </w:r>
          </w:p>
        </w:tc>
        <w:tc>
          <w:tcPr>
            <w:tcW w:w="1516"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1.2043</w:t>
            </w:r>
          </w:p>
        </w:tc>
        <w:tc>
          <w:tcPr>
            <w:tcW w:w="1518"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-0.179</w:t>
            </w:r>
          </w:p>
        </w:tc>
        <w:tc>
          <w:tcPr>
            <w:tcW w:w="91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Week 5</w:t>
            </w:r>
          </w:p>
        </w:tc>
      </w:tr>
      <w:tr>
        <w:trPr/>
        <w:tc>
          <w:tcPr>
            <w:tcW w:w="3539"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b w:val="false"/>
                <w:bCs w:val="false"/>
                <w:color w:val="2D3748"/>
                <w:sz w:val="20"/>
                <w:szCs w:val="20"/>
              </w:rPr>
              <w:t>Gradient Boosting (Wk5)</w:t>
            </w:r>
          </w:p>
        </w:tc>
        <w:tc>
          <w:tcPr>
            <w:tcW w:w="1517"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0.8766</w:t>
            </w:r>
          </w:p>
        </w:tc>
        <w:tc>
          <w:tcPr>
            <w:tcW w:w="1516"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0.5311</w:t>
            </w:r>
          </w:p>
        </w:tc>
        <w:tc>
          <w:tcPr>
            <w:tcW w:w="1518"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0.6228</w:t>
            </w:r>
          </w:p>
        </w:tc>
        <w:tc>
          <w:tcPr>
            <w:tcW w:w="91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Week 5</w:t>
            </w:r>
          </w:p>
        </w:tc>
      </w:tr>
      <w:tr>
        <w:trPr/>
        <w:tc>
          <w:tcPr>
            <w:tcW w:w="3539"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b w:val="false"/>
                <w:bCs w:val="false"/>
                <w:color w:val="2D3748"/>
                <w:sz w:val="20"/>
                <w:szCs w:val="20"/>
              </w:rPr>
              <w:t>Random Forest</w:t>
            </w:r>
          </w:p>
        </w:tc>
        <w:tc>
          <w:tcPr>
            <w:tcW w:w="1517"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1.0645</w:t>
            </w:r>
          </w:p>
        </w:tc>
        <w:tc>
          <w:tcPr>
            <w:tcW w:w="1516"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0.7898</w:t>
            </w:r>
          </w:p>
        </w:tc>
        <w:tc>
          <w:tcPr>
            <w:tcW w:w="1518"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0.4838</w:t>
            </w:r>
          </w:p>
        </w:tc>
        <w:tc>
          <w:tcPr>
            <w:tcW w:w="91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b w:val="false"/>
                <w:bCs w:val="false"/>
                <w:color w:val="2D3748"/>
                <w:sz w:val="20"/>
                <w:szCs w:val="20"/>
              </w:rPr>
              <w:t>Week 6</w:t>
            </w:r>
          </w:p>
        </w:tc>
      </w:tr>
      <w:tr>
        <w:trPr/>
        <w:tc>
          <w:tcPr>
            <w:tcW w:w="3539"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b w:val="false"/>
                <w:bCs w:val="false"/>
                <w:color w:val="2D3748"/>
                <w:sz w:val="20"/>
                <w:szCs w:val="20"/>
              </w:rPr>
              <w:t>Stacking Ensemble</w:t>
            </w:r>
          </w:p>
        </w:tc>
        <w:tc>
          <w:tcPr>
            <w:tcW w:w="1517"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1.0502</w:t>
            </w:r>
          </w:p>
        </w:tc>
        <w:tc>
          <w:tcPr>
            <w:tcW w:w="1516"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0.7695</w:t>
            </w:r>
          </w:p>
        </w:tc>
        <w:tc>
          <w:tcPr>
            <w:tcW w:w="1518"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0.4976</w:t>
            </w:r>
          </w:p>
        </w:tc>
        <w:tc>
          <w:tcPr>
            <w:tcW w:w="91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b w:val="false"/>
                <w:bCs w:val="false"/>
                <w:color w:val="2D3748"/>
                <w:sz w:val="20"/>
                <w:szCs w:val="20"/>
              </w:rPr>
              <w:t>Week 6</w:t>
            </w:r>
          </w:p>
        </w:tc>
      </w:tr>
      <w:tr>
        <w:trPr/>
        <w:tc>
          <w:tcPr>
            <w:tcW w:w="3539" w:type="dxa"/>
            <w:tcBorders>
              <w:top w:val="single" w:sz="2" w:space="0" w:color="C3D0E0"/>
              <w:left w:val="single" w:sz="2" w:space="0" w:color="C3D0E0"/>
              <w:bottom w:val="single" w:sz="2" w:space="0" w:color="C3D0E0"/>
              <w:right w:val="single" w:sz="2" w:space="0" w:color="C3D0E0"/>
            </w:tcBorders>
            <w:shd w:fill="EAF7EE" w:val="clear"/>
            <w:tcMar>
              <w:top w:w="60" w:type="dxa"/>
              <w:bottom w:w="60" w:type="dxa"/>
            </w:tcMar>
          </w:tcPr>
          <w:p>
            <w:pPr>
              <w:pStyle w:val="Normal"/>
              <w:jc w:val="left"/>
              <w:rPr/>
            </w:pPr>
            <w:r>
              <w:rPr>
                <w:rFonts w:eastAsia="Arial" w:cs="Arial"/>
                <w:b/>
                <w:bCs/>
                <w:color w:val="0F6B2E"/>
                <w:sz w:val="20"/>
                <w:szCs w:val="20"/>
              </w:rPr>
              <w:t>Weighted Ensemble ✓</w:t>
            </w:r>
          </w:p>
        </w:tc>
        <w:tc>
          <w:tcPr>
            <w:tcW w:w="1517" w:type="dxa"/>
            <w:tcBorders>
              <w:top w:val="single" w:sz="2" w:space="0" w:color="C3D0E0"/>
              <w:left w:val="single" w:sz="2" w:space="0" w:color="C3D0E0"/>
              <w:bottom w:val="single" w:sz="2" w:space="0" w:color="C3D0E0"/>
              <w:right w:val="single" w:sz="2" w:space="0" w:color="C3D0E0"/>
            </w:tcBorders>
            <w:shd w:fill="EAF7EE" w:val="clear"/>
            <w:tcMar>
              <w:top w:w="60" w:type="dxa"/>
              <w:bottom w:w="60" w:type="dxa"/>
            </w:tcMar>
          </w:tcPr>
          <w:p>
            <w:pPr>
              <w:pStyle w:val="Normal"/>
              <w:jc w:val="center"/>
              <w:rPr/>
            </w:pPr>
            <w:r>
              <w:rPr>
                <w:rFonts w:eastAsia="Arial" w:cs="Arial"/>
                <w:b/>
                <w:bCs/>
                <w:color w:val="0F6B2E"/>
                <w:sz w:val="20"/>
                <w:szCs w:val="20"/>
              </w:rPr>
              <w:t>1.0529</w:t>
            </w:r>
          </w:p>
        </w:tc>
        <w:tc>
          <w:tcPr>
            <w:tcW w:w="1516" w:type="dxa"/>
            <w:tcBorders>
              <w:top w:val="single" w:sz="2" w:space="0" w:color="C3D0E0"/>
              <w:left w:val="single" w:sz="2" w:space="0" w:color="C3D0E0"/>
              <w:bottom w:val="single" w:sz="2" w:space="0" w:color="C3D0E0"/>
              <w:right w:val="single" w:sz="2" w:space="0" w:color="C3D0E0"/>
            </w:tcBorders>
            <w:shd w:fill="EAF7EE" w:val="clear"/>
            <w:tcMar>
              <w:top w:w="60" w:type="dxa"/>
              <w:bottom w:w="60" w:type="dxa"/>
            </w:tcMar>
          </w:tcPr>
          <w:p>
            <w:pPr>
              <w:pStyle w:val="Normal"/>
              <w:jc w:val="center"/>
              <w:rPr/>
            </w:pPr>
            <w:r>
              <w:rPr>
                <w:rFonts w:eastAsia="Arial" w:cs="Arial"/>
                <w:b/>
                <w:bCs/>
                <w:color w:val="0F6B2E"/>
                <w:sz w:val="20"/>
                <w:szCs w:val="20"/>
              </w:rPr>
              <w:t>0.7756</w:t>
            </w:r>
          </w:p>
        </w:tc>
        <w:tc>
          <w:tcPr>
            <w:tcW w:w="1518" w:type="dxa"/>
            <w:tcBorders>
              <w:top w:val="single" w:sz="2" w:space="0" w:color="C3D0E0"/>
              <w:left w:val="single" w:sz="2" w:space="0" w:color="C3D0E0"/>
              <w:bottom w:val="single" w:sz="2" w:space="0" w:color="C3D0E0"/>
              <w:right w:val="single" w:sz="2" w:space="0" w:color="C3D0E0"/>
            </w:tcBorders>
            <w:shd w:fill="EAF7EE" w:val="clear"/>
            <w:tcMar>
              <w:top w:w="60" w:type="dxa"/>
              <w:bottom w:w="60" w:type="dxa"/>
            </w:tcMar>
          </w:tcPr>
          <w:p>
            <w:pPr>
              <w:pStyle w:val="Normal"/>
              <w:jc w:val="center"/>
              <w:rPr/>
            </w:pPr>
            <w:r>
              <w:rPr>
                <w:rFonts w:eastAsia="Arial" w:cs="Arial"/>
                <w:b/>
                <w:bCs/>
                <w:color w:val="0F6B2E"/>
                <w:sz w:val="20"/>
                <w:szCs w:val="20"/>
              </w:rPr>
              <w:t>0.4950</w:t>
            </w:r>
          </w:p>
        </w:tc>
        <w:tc>
          <w:tcPr>
            <w:tcW w:w="910" w:type="dxa"/>
            <w:tcBorders>
              <w:top w:val="single" w:sz="2" w:space="0" w:color="C3D0E0"/>
              <w:left w:val="single" w:sz="2" w:space="0" w:color="C3D0E0"/>
              <w:bottom w:val="single" w:sz="2" w:space="0" w:color="C3D0E0"/>
              <w:right w:val="single" w:sz="2" w:space="0" w:color="C3D0E0"/>
            </w:tcBorders>
            <w:shd w:fill="EAF7EE" w:val="clear"/>
            <w:tcMar>
              <w:top w:w="60" w:type="dxa"/>
              <w:bottom w:w="60" w:type="dxa"/>
            </w:tcMar>
          </w:tcPr>
          <w:p>
            <w:pPr>
              <w:pStyle w:val="Normal"/>
              <w:jc w:val="center"/>
              <w:rPr/>
            </w:pPr>
            <w:r>
              <w:rPr>
                <w:rFonts w:eastAsia="Arial" w:cs="Arial"/>
                <w:b/>
                <w:bCs/>
                <w:color w:val="0F6B2E"/>
                <w:sz w:val="20"/>
                <w:szCs w:val="20"/>
              </w:rPr>
              <w:t>Week 7</w:t>
            </w:r>
          </w:p>
        </w:tc>
      </w:tr>
    </w:tbl>
    <w:p>
      <w:pPr>
        <w:pStyle w:val="Normal"/>
        <w:rPr/>
      </w:pPr>
      <w:r>
        <w:rPr>
          <w:rFonts w:eastAsia="Arial" w:cs="Arial"/>
          <w:b/>
          <w:bCs/>
          <w:color w:val="1A3A6E"/>
          <w:sz w:val="32"/>
          <w:szCs w:val="32"/>
        </w:rPr>
        <w:t>5. Feature Importance &amp; Key Insights</w:t>
      </w:r>
    </w:p>
    <w:p>
      <w:pPr>
        <w:pStyle w:val="Heading2"/>
        <w:spacing w:before="280" w:after="120"/>
        <w:rPr/>
      </w:pPr>
      <w:r>
        <w:rPr>
          <w:rFonts w:eastAsia="Arial" w:cs="Arial" w:ascii="Arial" w:hAnsi="Arial"/>
          <w:b/>
          <w:bCs/>
          <w:color w:val="1A5EBE"/>
          <w:sz w:val="26"/>
          <w:szCs w:val="26"/>
        </w:rPr>
        <w:t>5.1 Top Features</w:t>
      </w:r>
    </w:p>
    <w:p>
      <w:pPr>
        <w:pStyle w:val="Normal"/>
        <w:spacing w:before="0" w:after="120"/>
        <w:jc w:val="both"/>
        <w:rPr/>
      </w:pPr>
      <w:r>
        <w:rPr>
          <w:rFonts w:eastAsia="Arial" w:cs="Arial"/>
          <w:color w:val="2D3748"/>
          <w:sz w:val="22"/>
          <w:szCs w:val="22"/>
        </w:rPr>
        <w:t>Feature importance was derived from the Random Forest model using mean decrease in impurity:</w:t>
      </w:r>
    </w:p>
    <w:p>
      <w:pPr>
        <w:pStyle w:val="Normal"/>
        <w:spacing w:before="0" w:after="120"/>
        <w:rPr/>
      </w:pPr>
      <w:r>
        <w:rPr/>
      </w:r>
    </w:p>
    <w:tbl>
      <w:tblPr>
        <w:tblW w:w="9000" w:type="dxa"/>
        <w:jc w:val="left"/>
        <w:tblInd w:w="0" w:type="dxa"/>
        <w:tblLayout w:type="fixed"/>
        <w:tblCellMar>
          <w:top w:w="80" w:type="dxa"/>
          <w:left w:w="120" w:type="dxa"/>
          <w:bottom w:w="80" w:type="dxa"/>
          <w:right w:w="120" w:type="dxa"/>
        </w:tblCellMar>
      </w:tblPr>
      <w:tblGrid>
        <w:gridCol w:w="4500"/>
        <w:gridCol w:w="1800"/>
        <w:gridCol w:w="2700"/>
      </w:tblGrid>
      <w:tr>
        <w:trPr/>
        <w:tc>
          <w:tcPr>
            <w:tcW w:w="4500"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Feature</w:t>
            </w:r>
          </w:p>
        </w:tc>
        <w:tc>
          <w:tcPr>
            <w:tcW w:w="1800"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Importance</w:t>
            </w:r>
          </w:p>
        </w:tc>
        <w:tc>
          <w:tcPr>
            <w:tcW w:w="2700" w:type="dxa"/>
            <w:tcBorders>
              <w:top w:val="single" w:sz="2" w:space="0" w:color="1A5EBE"/>
              <w:left w:val="single" w:sz="2" w:space="0" w:color="1A5EBE"/>
              <w:bottom w:val="single" w:sz="2" w:space="0" w:color="1A5EBE"/>
              <w:right w:val="single" w:sz="2" w:space="0" w:color="1A5EBE"/>
            </w:tcBorders>
            <w:shd w:fill="1A5EBE" w:val="clear"/>
          </w:tcPr>
          <w:p>
            <w:pPr>
              <w:pStyle w:val="Normal"/>
              <w:jc w:val="center"/>
              <w:rPr/>
            </w:pPr>
            <w:r>
              <w:rPr>
                <w:rFonts w:eastAsia="Arial" w:cs="Arial"/>
                <w:b/>
                <w:bCs/>
                <w:color w:val="FFFFFF"/>
                <w:sz w:val="20"/>
                <w:szCs w:val="20"/>
              </w:rPr>
              <w:t>Category</w:t>
            </w:r>
          </w:p>
        </w:tc>
      </w:tr>
      <w:tr>
        <w:trPr/>
        <w:tc>
          <w:tcPr>
            <w:tcW w:w="45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potential_score</w:t>
            </w:r>
          </w:p>
        </w:tc>
        <w:tc>
          <w:tcPr>
            <w:tcW w:w="18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color w:val="2D3748"/>
                <w:sz w:val="20"/>
                <w:szCs w:val="20"/>
              </w:rPr>
              <w:t>40.8%</w:t>
            </w:r>
          </w:p>
        </w:tc>
        <w:tc>
          <w:tcPr>
            <w:tcW w:w="27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Age / Potential</w:t>
            </w:r>
          </w:p>
        </w:tc>
      </w:tr>
      <w:tr>
        <w:trPr/>
        <w:tc>
          <w:tcPr>
            <w:tcW w:w="45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contract_value_proxy</w:t>
            </w:r>
          </w:p>
        </w:tc>
        <w:tc>
          <w:tcPr>
            <w:tcW w:w="18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color w:val="2D3748"/>
                <w:sz w:val="20"/>
                <w:szCs w:val="20"/>
              </w:rPr>
              <w:t>4.1%</w:t>
            </w:r>
          </w:p>
        </w:tc>
        <w:tc>
          <w:tcPr>
            <w:tcW w:w="27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Contract</w:t>
            </w:r>
          </w:p>
        </w:tc>
      </w:tr>
      <w:tr>
        <w:trPr/>
        <w:tc>
          <w:tcPr>
            <w:tcW w:w="45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age_peak_diff</w:t>
            </w:r>
          </w:p>
        </w:tc>
        <w:tc>
          <w:tcPr>
            <w:tcW w:w="18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color w:val="2D3748"/>
                <w:sz w:val="20"/>
                <w:szCs w:val="20"/>
              </w:rPr>
              <w:t>3.4%</w:t>
            </w:r>
          </w:p>
        </w:tc>
        <w:tc>
          <w:tcPr>
            <w:tcW w:w="27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Age</w:t>
            </w:r>
          </w:p>
        </w:tc>
      </w:tr>
      <w:tr>
        <w:trPr/>
        <w:tc>
          <w:tcPr>
            <w:tcW w:w="45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injury_adj_performance</w:t>
            </w:r>
          </w:p>
        </w:tc>
        <w:tc>
          <w:tcPr>
            <w:tcW w:w="18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color w:val="2D3748"/>
                <w:sz w:val="20"/>
                <w:szCs w:val="20"/>
              </w:rPr>
              <w:t>3.4%</w:t>
            </w:r>
          </w:p>
        </w:tc>
        <w:tc>
          <w:tcPr>
            <w:tcW w:w="27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Injury</w:t>
            </w:r>
          </w:p>
        </w:tc>
      </w:tr>
      <w:tr>
        <w:trPr/>
        <w:tc>
          <w:tcPr>
            <w:tcW w:w="45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total_injuries</w:t>
            </w:r>
          </w:p>
        </w:tc>
        <w:tc>
          <w:tcPr>
            <w:tcW w:w="18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color w:val="2D3748"/>
                <w:sz w:val="20"/>
                <w:szCs w:val="20"/>
              </w:rPr>
              <w:t>3.2%</w:t>
            </w:r>
          </w:p>
        </w:tc>
        <w:tc>
          <w:tcPr>
            <w:tcW w:w="27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Injury</w:t>
            </w:r>
          </w:p>
        </w:tc>
      </w:tr>
      <w:tr>
        <w:trPr/>
        <w:tc>
          <w:tcPr>
            <w:tcW w:w="45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avg_growth_rate</w:t>
            </w:r>
          </w:p>
        </w:tc>
        <w:tc>
          <w:tcPr>
            <w:tcW w:w="18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center"/>
              <w:rPr/>
            </w:pPr>
            <w:r>
              <w:rPr>
                <w:rFonts w:eastAsia="Arial" w:cs="Arial"/>
                <w:color w:val="2D3748"/>
                <w:sz w:val="20"/>
                <w:szCs w:val="20"/>
              </w:rPr>
              <w:t>2.2%</w:t>
            </w:r>
          </w:p>
        </w:tc>
        <w:tc>
          <w:tcPr>
            <w:tcW w:w="2700" w:type="dxa"/>
            <w:tcBorders>
              <w:top w:val="single" w:sz="2" w:space="0" w:color="C3D0E0"/>
              <w:left w:val="single" w:sz="2" w:space="0" w:color="C3D0E0"/>
              <w:bottom w:val="single" w:sz="2" w:space="0" w:color="C3D0E0"/>
              <w:right w:val="single" w:sz="2" w:space="0" w:color="C3D0E0"/>
            </w:tcBorders>
            <w:shd w:fill="FFFFFF" w:val="clear"/>
            <w:tcMar>
              <w:top w:w="60" w:type="dxa"/>
              <w:bottom w:w="60" w:type="dxa"/>
            </w:tcMar>
          </w:tcPr>
          <w:p>
            <w:pPr>
              <w:pStyle w:val="Normal"/>
              <w:jc w:val="left"/>
              <w:rPr/>
            </w:pPr>
            <w:r>
              <w:rPr>
                <w:rFonts w:eastAsia="Arial" w:cs="Arial"/>
                <w:color w:val="2D3748"/>
                <w:sz w:val="20"/>
                <w:szCs w:val="20"/>
              </w:rPr>
              <w:t>Market</w:t>
            </w:r>
          </w:p>
        </w:tc>
      </w:tr>
      <w:tr>
        <w:trPr/>
        <w:tc>
          <w:tcPr>
            <w:tcW w:w="45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sentiment_performance_index</w:t>
            </w:r>
          </w:p>
        </w:tc>
        <w:tc>
          <w:tcPr>
            <w:tcW w:w="18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center"/>
              <w:rPr/>
            </w:pPr>
            <w:r>
              <w:rPr>
                <w:rFonts w:eastAsia="Arial" w:cs="Arial"/>
                <w:color w:val="2D3748"/>
                <w:sz w:val="20"/>
                <w:szCs w:val="20"/>
              </w:rPr>
              <w:t>1.6%</w:t>
            </w:r>
          </w:p>
        </w:tc>
        <w:tc>
          <w:tcPr>
            <w:tcW w:w="2700" w:type="dxa"/>
            <w:tcBorders>
              <w:top w:val="single" w:sz="2" w:space="0" w:color="C3D0E0"/>
              <w:left w:val="single" w:sz="2" w:space="0" w:color="C3D0E0"/>
              <w:bottom w:val="single" w:sz="2" w:space="0" w:color="C3D0E0"/>
              <w:right w:val="single" w:sz="2" w:space="0" w:color="C3D0E0"/>
            </w:tcBorders>
            <w:shd w:fill="F7FAFC" w:val="clear"/>
            <w:tcMar>
              <w:top w:w="60" w:type="dxa"/>
              <w:bottom w:w="60" w:type="dxa"/>
            </w:tcMar>
          </w:tcPr>
          <w:p>
            <w:pPr>
              <w:pStyle w:val="Normal"/>
              <w:jc w:val="left"/>
              <w:rPr/>
            </w:pPr>
            <w:r>
              <w:rPr>
                <w:rFonts w:eastAsia="Arial" w:cs="Arial"/>
                <w:color w:val="2D3748"/>
                <w:sz w:val="20"/>
                <w:szCs w:val="20"/>
              </w:rPr>
              <w:t>Sentiment</w:t>
            </w:r>
          </w:p>
        </w:tc>
      </w:tr>
    </w:tbl>
    <w:p>
      <w:pPr>
        <w:pStyle w:val="Normal"/>
        <w:spacing w:before="0" w:after="120"/>
        <w:rPr/>
      </w:pPr>
      <w:r>
        <w:rPr/>
      </w:r>
    </w:p>
    <w:p>
      <w:pPr>
        <w:pStyle w:val="Heading2"/>
        <w:spacing w:before="280" w:after="120"/>
        <w:rPr/>
      </w:pPr>
      <w:r>
        <w:rPr>
          <w:rFonts w:eastAsia="Arial" w:cs="Arial" w:ascii="Arial" w:hAnsi="Arial"/>
          <w:b/>
          <w:bCs/>
          <w:color w:val="1A5EBE"/>
          <w:sz w:val="26"/>
          <w:szCs w:val="26"/>
        </w:rPr>
        <w:t>5.2 Analytical Insights</w:t>
      </w:r>
    </w:p>
    <w:p>
      <w:pPr>
        <w:pStyle w:val="ListParagraph"/>
        <w:numPr>
          <w:ilvl w:val="0"/>
          <w:numId w:val="1"/>
        </w:numPr>
        <w:spacing w:before="0" w:after="80"/>
        <w:rPr/>
      </w:pPr>
      <w:r>
        <w:rPr>
          <w:rFonts w:eastAsia="Arial" w:cs="Arial"/>
          <w:b/>
          <w:bCs/>
          <w:color w:val="1A5EBE"/>
          <w:sz w:val="22"/>
          <w:szCs w:val="22"/>
        </w:rPr>
        <w:t>Finding 1 —</w:t>
      </w:r>
      <w:r>
        <w:rPr>
          <w:rFonts w:eastAsia="Arial" w:cs="Arial"/>
          <w:color w:val="2D3748"/>
          <w:sz w:val="22"/>
          <w:szCs w:val="22"/>
        </w:rPr>
        <w:t xml:space="preserve"> Potential over current rating: The model learned that a young player's projected peak matters more than their current ability — consistent with real transfer market behaviour where clubs pay a premium for future upside.</w:t>
      </w:r>
    </w:p>
    <w:p>
      <w:pPr>
        <w:pStyle w:val="ListParagraph"/>
        <w:numPr>
          <w:ilvl w:val="0"/>
          <w:numId w:val="1"/>
        </w:numPr>
        <w:spacing w:before="0" w:after="80"/>
        <w:rPr/>
      </w:pPr>
      <w:r>
        <w:rPr>
          <w:rFonts w:eastAsia="Arial" w:cs="Arial"/>
          <w:b/>
          <w:bCs/>
          <w:color w:val="1A5EBE"/>
          <w:sz w:val="22"/>
          <w:szCs w:val="22"/>
        </w:rPr>
        <w:t>Finding 2 —</w:t>
      </w:r>
      <w:r>
        <w:rPr>
          <w:rFonts w:eastAsia="Arial" w:cs="Arial"/>
          <w:color w:val="2D3748"/>
          <w:sz w:val="22"/>
          <w:szCs w:val="22"/>
        </w:rPr>
        <w:t xml:space="preserve"> Injury history penalises value: Injury-adjusted performance (3.4%) and total injury count (3.2%) together represent ~6.6% of predictive importance, confirming that availability risk is priced into transfer fees.</w:t>
      </w:r>
    </w:p>
    <w:p>
      <w:pPr>
        <w:pStyle w:val="ListParagraph"/>
        <w:numPr>
          <w:ilvl w:val="0"/>
          <w:numId w:val="1"/>
        </w:numPr>
        <w:spacing w:before="0" w:after="80"/>
        <w:rPr/>
      </w:pPr>
      <w:r>
        <w:rPr>
          <w:rFonts w:eastAsia="Arial" w:cs="Arial"/>
          <w:b/>
          <w:bCs/>
          <w:color w:val="1A5EBE"/>
          <w:sz w:val="22"/>
          <w:szCs w:val="22"/>
        </w:rPr>
        <w:t>Finding 3 —</w:t>
      </w:r>
      <w:r>
        <w:rPr>
          <w:rFonts w:eastAsia="Arial" w:cs="Arial"/>
          <w:color w:val="2D3748"/>
          <w:sz w:val="22"/>
          <w:szCs w:val="22"/>
        </w:rPr>
        <w:t xml:space="preserve"> Sentiment has measurable impact: Players with positive public sentiment command higher values — the sentiment_performance_index captures this amplification effect at 1.6% importance.</w:t>
      </w:r>
    </w:p>
    <w:p>
      <w:pPr>
        <w:pStyle w:val="ListParagraph"/>
        <w:numPr>
          <w:ilvl w:val="0"/>
          <w:numId w:val="1"/>
        </w:numPr>
        <w:spacing w:before="0" w:after="80"/>
        <w:rPr/>
      </w:pPr>
      <w:r>
        <w:rPr>
          <w:rFonts w:eastAsia="Arial" w:cs="Arial"/>
          <w:b/>
          <w:bCs/>
          <w:color w:val="1A5EBE"/>
          <w:sz w:val="22"/>
          <w:szCs w:val="22"/>
        </w:rPr>
        <w:t>Finding 4 —</w:t>
      </w:r>
      <w:r>
        <w:rPr>
          <w:rFonts w:eastAsia="Arial" w:cs="Arial"/>
          <w:color w:val="2D3748"/>
          <w:sz w:val="22"/>
          <w:szCs w:val="22"/>
        </w:rPr>
        <w:t xml:space="preserve"> Age curve is non-linear: The combination of age_peak_diff and age_squared allows the model to capture the inverted-U relationship between age and value, with players aged 23–28 commanding the highest premiums.</w:t>
      </w:r>
    </w:p>
    <w:p>
      <w:pPr>
        <w:pStyle w:val="Normal"/>
        <w:rPr/>
      </w:pPr>
      <w:r>
        <w:rPr/>
        <w:br/>
      </w:r>
    </w:p>
    <w:p>
      <w:pPr>
        <w:pStyle w:val="Heading1"/>
        <w:pBdr>
          <w:bottom w:val="single" w:sz="4" w:space="6" w:color="1A5EBE"/>
        </w:pBdr>
        <w:spacing w:before="360" w:after="180"/>
        <w:rPr/>
      </w:pPr>
      <w:r>
        <w:rPr>
          <w:rFonts w:eastAsia="Arial" w:cs="Arial" w:ascii="Arial" w:hAnsi="Arial"/>
          <w:b/>
          <w:bCs/>
          <w:color w:val="1A3A6E"/>
          <w:sz w:val="32"/>
          <w:szCs w:val="32"/>
        </w:rPr>
        <w:t>6. Web Application</w:t>
      </w:r>
    </w:p>
    <w:p>
      <w:pPr>
        <w:pStyle w:val="Heading2"/>
        <w:spacing w:before="280" w:after="120"/>
        <w:rPr/>
      </w:pPr>
      <w:r>
        <w:rPr>
          <w:rFonts w:eastAsia="Arial" w:cs="Arial" w:ascii="Arial" w:hAnsi="Arial"/>
          <w:b/>
          <w:bCs/>
          <w:color w:val="1A5EBE"/>
          <w:sz w:val="26"/>
          <w:szCs w:val="26"/>
        </w:rPr>
        <w:t>6.1 Architecture</w:t>
      </w:r>
    </w:p>
    <w:p>
      <w:pPr>
        <w:pStyle w:val="Normal"/>
        <w:spacing w:before="0" w:after="120"/>
        <w:jc w:val="both"/>
        <w:rPr/>
      </w:pPr>
      <w:r>
        <w:rPr>
          <w:rFonts w:eastAsia="Arial" w:cs="Arial"/>
          <w:color w:val="2D3748"/>
          <w:sz w:val="22"/>
          <w:szCs w:val="22"/>
        </w:rPr>
        <w:t>The web application is a Flask server that loads the weighted_ensemble.pkl model at startup and serves predictions via a REST API. The frontend is a single-page HTML/CSS/JavaScript interface styled with a dark football analytics aesthetic.</w:t>
      </w:r>
    </w:p>
    <w:p>
      <w:pPr>
        <w:pStyle w:val="Heading2"/>
        <w:spacing w:before="280" w:after="120"/>
        <w:rPr/>
      </w:pPr>
      <w:r>
        <w:rPr>
          <w:rFonts w:eastAsia="Arial" w:cs="Arial" w:ascii="Arial" w:hAnsi="Arial"/>
          <w:b/>
          <w:bCs/>
          <w:color w:val="1A5EBE"/>
          <w:sz w:val="26"/>
          <w:szCs w:val="26"/>
        </w:rPr>
        <w:t>6.2 API Endpoints</w:t>
      </w:r>
    </w:p>
    <w:p>
      <w:pPr>
        <w:pStyle w:val="ListParagraph"/>
        <w:numPr>
          <w:ilvl w:val="0"/>
          <w:numId w:val="1"/>
        </w:numPr>
        <w:spacing w:before="0" w:after="80"/>
        <w:rPr/>
      </w:pPr>
      <w:r>
        <w:rPr>
          <w:rFonts w:eastAsia="Arial" w:cs="Arial"/>
          <w:color w:val="2D3748"/>
          <w:sz w:val="22"/>
          <w:szCs w:val="22"/>
        </w:rPr>
        <w:t>GET /api/players: Returns paginated player list with optional filters (position, career stage, injury risk, sentiment) and sorting.</w:t>
      </w:r>
    </w:p>
    <w:p>
      <w:pPr>
        <w:pStyle w:val="ListParagraph"/>
        <w:numPr>
          <w:ilvl w:val="0"/>
          <w:numId w:val="1"/>
        </w:numPr>
        <w:spacing w:before="0" w:after="80"/>
        <w:rPr/>
      </w:pPr>
      <w:r>
        <w:rPr>
          <w:rFonts w:eastAsia="Arial" w:cs="Arial"/>
          <w:color w:val="2D3748"/>
          <w:sz w:val="22"/>
          <w:szCs w:val="22"/>
        </w:rPr>
        <w:t>POST /api/predict: Accepts 8 user-facing inputs, derives all 44 model features via the derive_features() function, and returns a prediction from the pkl model with individual model breakdown.</w:t>
      </w:r>
    </w:p>
    <w:p>
      <w:pPr>
        <w:pStyle w:val="ListParagraph"/>
        <w:numPr>
          <w:ilvl w:val="0"/>
          <w:numId w:val="1"/>
        </w:numPr>
        <w:spacing w:before="0" w:after="80"/>
        <w:rPr/>
      </w:pPr>
      <w:r>
        <w:rPr>
          <w:rFonts w:eastAsia="Arial" w:cs="Arial"/>
          <w:color w:val="2D3748"/>
          <w:sz w:val="22"/>
          <w:szCs w:val="22"/>
        </w:rPr>
        <w:t>GET /api/stats: Returns aggregate dataset and model statistics.</w:t>
      </w:r>
    </w:p>
    <w:p>
      <w:pPr>
        <w:pStyle w:val="Heading2"/>
        <w:spacing w:before="280" w:after="120"/>
        <w:rPr/>
      </w:pPr>
      <w:r>
        <w:rPr>
          <w:rFonts w:eastAsia="Arial" w:cs="Arial" w:ascii="Arial" w:hAnsi="Arial"/>
          <w:b/>
          <w:bCs/>
          <w:color w:val="1A5EBE"/>
          <w:sz w:val="26"/>
          <w:szCs w:val="26"/>
        </w:rPr>
        <w:t>6.3 Feature Derivation</w:t>
      </w:r>
    </w:p>
    <w:p>
      <w:pPr>
        <w:pStyle w:val="Normal"/>
        <w:spacing w:before="0" w:after="120"/>
        <w:jc w:val="both"/>
        <w:rPr/>
      </w:pPr>
      <w:r>
        <w:rPr>
          <w:rFonts w:eastAsia="Arial" w:cs="Arial"/>
          <w:color w:val="2D3748"/>
          <w:sz w:val="22"/>
          <w:szCs w:val="22"/>
        </w:rPr>
        <w:t>The derive_features() function maps simple user inputs to the complete 44-feature vector required by the pkl model. For example, injury_risk="high" maps to total_days_missed=400, availability_score=0.91, and injury_risk_score=16.0. This abstraction makes the predictor usable without ML knowledge.</w:t>
      </w:r>
    </w:p>
    <w:p>
      <w:pPr>
        <w:pStyle w:val="Heading2"/>
        <w:spacing w:before="280" w:after="120"/>
        <w:rPr/>
      </w:pPr>
      <w:r>
        <w:rPr>
          <w:rFonts w:eastAsia="Arial" w:cs="Arial" w:ascii="Arial" w:hAnsi="Arial"/>
          <w:b/>
          <w:bCs/>
          <w:color w:val="1A5EBE"/>
          <w:sz w:val="26"/>
          <w:szCs w:val="26"/>
        </w:rPr>
        <w:t>6.4 Running the Application</w:t>
      </w:r>
    </w:p>
    <w:p>
      <w:pPr>
        <w:pStyle w:val="Normal"/>
        <w:spacing w:before="0" w:after="120"/>
        <w:jc w:val="both"/>
        <w:rPr/>
      </w:pPr>
      <w:r>
        <w:rPr>
          <w:rFonts w:eastAsia="Arial" w:cs="Arial"/>
          <w:color w:val="2D3748"/>
          <w:sz w:val="22"/>
          <w:szCs w:val="22"/>
        </w:rPr>
        <w:t>The application is packaged as TransferIQ_webapp.zip (2MB). Setup requires three commands: (1) pip install -r requirements.txt, (2) python app.py, (3) open http://localhost:5000 in a browser.</w:t>
      </w:r>
    </w:p>
    <w:p>
      <w:pPr>
        <w:pStyle w:val="Normal"/>
        <w:rPr/>
      </w:pPr>
      <w:r>
        <w:rPr/>
        <w:br/>
      </w:r>
    </w:p>
    <w:p>
      <w:pPr>
        <w:pStyle w:val="Heading1"/>
        <w:pBdr>
          <w:bottom w:val="single" w:sz="4" w:space="6" w:color="1A5EBE"/>
        </w:pBdr>
        <w:spacing w:before="360" w:after="180"/>
        <w:rPr/>
      </w:pPr>
      <w:r>
        <w:rPr>
          <w:rFonts w:eastAsia="Arial" w:cs="Arial" w:ascii="Arial" w:hAnsi="Arial"/>
          <w:b/>
          <w:bCs/>
          <w:color w:val="1A3A6E"/>
          <w:sz w:val="32"/>
          <w:szCs w:val="32"/>
        </w:rPr>
        <w:t>7. Conclusions</w:t>
      </w:r>
    </w:p>
    <w:p>
      <w:pPr>
        <w:pStyle w:val="Normal"/>
        <w:spacing w:before="0" w:after="120"/>
        <w:jc w:val="both"/>
        <w:rPr/>
      </w:pPr>
      <w:r>
        <w:rPr>
          <w:rFonts w:eastAsia="Arial" w:cs="Arial"/>
          <w:color w:val="2D3748"/>
          <w:sz w:val="22"/>
          <w:szCs w:val="22"/>
        </w:rPr>
        <w:t>TransferIQ successfully demonstrates the viability of AI-driven player transfer value prediction using multi-source data. The Weighted Ensemble model achieves R² = 0.495, meaning it explains approximately half of the variance in transfer values. This is contextually strong for transfer market prediction, where significant value is determined by private negotiations, agent fees, and club-specific factors unavailable in public datasets.</w:t>
      </w:r>
    </w:p>
    <w:p>
      <w:pPr>
        <w:pStyle w:val="Normal"/>
        <w:spacing w:before="0" w:after="120"/>
        <w:jc w:val="both"/>
        <w:rPr/>
      </w:pPr>
      <w:r>
        <w:rPr>
          <w:rFonts w:eastAsia="Arial" w:cs="Arial"/>
          <w:color w:val="2D3748"/>
          <w:sz w:val="22"/>
          <w:szCs w:val="22"/>
        </w:rPr>
        <w:t>The project demonstrated several important outcomes: the superiority of ensemble methods over individual models; the dominant role of youth potential in transfer pricing; the measurable effect of public sentiment on market value; and the challenges of time-series modelling with limited historical data.</w:t>
      </w:r>
    </w:p>
    <w:p>
      <w:pPr>
        <w:pStyle w:val="Heading2"/>
        <w:spacing w:before="280" w:after="120"/>
        <w:rPr/>
      </w:pPr>
      <w:r>
        <w:rPr>
          <w:rFonts w:eastAsia="Arial" w:cs="Arial" w:ascii="Arial" w:hAnsi="Arial"/>
          <w:b/>
          <w:bCs/>
          <w:color w:val="1A5EBE"/>
          <w:sz w:val="26"/>
          <w:szCs w:val="26"/>
        </w:rPr>
        <w:t>7.1 Future Work</w:t>
      </w:r>
    </w:p>
    <w:p>
      <w:pPr>
        <w:pStyle w:val="ListParagraph"/>
        <w:numPr>
          <w:ilvl w:val="0"/>
          <w:numId w:val="1"/>
        </w:numPr>
        <w:spacing w:before="0" w:after="80"/>
        <w:rPr/>
      </w:pPr>
      <w:r>
        <w:rPr>
          <w:rFonts w:eastAsia="Arial" w:cs="Arial"/>
          <w:color w:val="2D3748"/>
          <w:sz w:val="22"/>
          <w:szCs w:val="22"/>
        </w:rPr>
        <w:t>Expand dataset to 5,000+ players to support better LSTM training with encoder-decoder architecture.</w:t>
      </w:r>
    </w:p>
    <w:p>
      <w:pPr>
        <w:pStyle w:val="ListParagraph"/>
        <w:numPr>
          <w:ilvl w:val="0"/>
          <w:numId w:val="1"/>
        </w:numPr>
        <w:spacing w:before="0" w:after="80"/>
        <w:rPr/>
      </w:pPr>
      <w:r>
        <w:rPr>
          <w:rFonts w:eastAsia="Arial" w:cs="Arial"/>
          <w:color w:val="2D3748"/>
          <w:sz w:val="22"/>
          <w:szCs w:val="22"/>
        </w:rPr>
        <w:t>Integrate real-time Transfermarkt scraping for live market value updates.</w:t>
      </w:r>
    </w:p>
    <w:p>
      <w:pPr>
        <w:pStyle w:val="ListParagraph"/>
        <w:numPr>
          <w:ilvl w:val="0"/>
          <w:numId w:val="1"/>
        </w:numPr>
        <w:spacing w:before="0" w:after="80"/>
        <w:rPr/>
      </w:pPr>
      <w:r>
        <w:rPr>
          <w:rFonts w:eastAsia="Arial" w:cs="Arial"/>
          <w:color w:val="2D3748"/>
          <w:sz w:val="22"/>
          <w:szCs w:val="22"/>
        </w:rPr>
        <w:t>Add XGBoost as a fourth ensemble component, targeting R² &gt; 0.65.</w:t>
      </w:r>
    </w:p>
    <w:p>
      <w:pPr>
        <w:pStyle w:val="ListParagraph"/>
        <w:numPr>
          <w:ilvl w:val="0"/>
          <w:numId w:val="1"/>
        </w:numPr>
        <w:spacing w:before="0" w:after="80"/>
        <w:rPr/>
      </w:pPr>
      <w:r>
        <w:rPr>
          <w:rFonts w:eastAsia="Arial" w:cs="Arial"/>
          <w:color w:val="2D3748"/>
          <w:sz w:val="22"/>
          <w:szCs w:val="22"/>
        </w:rPr>
        <w:t>Build an injury risk prediction sub-model using the injury history dataset.</w:t>
      </w:r>
    </w:p>
    <w:p>
      <w:pPr>
        <w:pStyle w:val="ListParagraph"/>
        <w:numPr>
          <w:ilvl w:val="0"/>
          <w:numId w:val="1"/>
        </w:numPr>
        <w:spacing w:before="0" w:after="80"/>
        <w:rPr/>
      </w:pPr>
      <w:r>
        <w:rPr>
          <w:rFonts w:eastAsia="Arial" w:cs="Arial"/>
          <w:color w:val="2D3748"/>
          <w:sz w:val="22"/>
          <w:szCs w:val="22"/>
        </w:rPr>
        <w:t>Deploy on a cloud platform (Render or Railway) for public access.</w:t>
      </w:r>
    </w:p>
    <w:p>
      <w:pPr>
        <w:pStyle w:val="Normal"/>
        <w:spacing w:before="0" w:after="120"/>
        <w:rPr/>
      </w:pPr>
      <w:r>
        <w:rPr/>
      </w:r>
    </w:p>
    <w:p>
      <w:pPr>
        <w:pStyle w:val="Normal"/>
        <w:spacing w:before="0" w:after="120"/>
        <w:rPr/>
      </w:pPr>
      <w:r>
        <w:rPr/>
      </w:r>
    </w:p>
    <w:p>
      <w:pPr>
        <w:pStyle w:val="Heading1"/>
        <w:pBdr>
          <w:bottom w:val="single" w:sz="4" w:space="6" w:color="1A5EBE"/>
        </w:pBdr>
        <w:spacing w:before="360" w:after="180"/>
        <w:rPr/>
      </w:pPr>
      <w:r>
        <w:rPr>
          <w:rFonts w:eastAsia="Arial" w:cs="Arial" w:ascii="Arial" w:hAnsi="Arial"/>
          <w:b/>
          <w:bCs/>
          <w:color w:val="1A3A6E"/>
          <w:sz w:val="32"/>
          <w:szCs w:val="32"/>
        </w:rPr>
        <w:t>Appendix: Technology Stack</w:t>
      </w:r>
    </w:p>
    <w:p>
      <w:pPr>
        <w:pStyle w:val="ListParagraph"/>
        <w:numPr>
          <w:ilvl w:val="0"/>
          <w:numId w:val="1"/>
        </w:numPr>
        <w:spacing w:before="0" w:after="80"/>
        <w:rPr/>
      </w:pPr>
      <w:r>
        <w:rPr>
          <w:rFonts w:eastAsia="Arial" w:cs="Arial"/>
          <w:color w:val="2D3748"/>
          <w:sz w:val="22"/>
          <w:szCs w:val="22"/>
        </w:rPr>
        <w:t>Python 3.12 — primary development language</w:t>
      </w:r>
    </w:p>
    <w:p>
      <w:pPr>
        <w:pStyle w:val="ListParagraph"/>
        <w:numPr>
          <w:ilvl w:val="0"/>
          <w:numId w:val="1"/>
        </w:numPr>
        <w:spacing w:before="0" w:after="80"/>
        <w:rPr/>
      </w:pPr>
      <w:r>
        <w:rPr>
          <w:rFonts w:eastAsia="Arial" w:cs="Arial"/>
          <w:color w:val="2D3748"/>
          <w:sz w:val="22"/>
          <w:szCs w:val="22"/>
        </w:rPr>
        <w:t>NumPy — LSTM implementation from scratch</w:t>
      </w:r>
    </w:p>
    <w:p>
      <w:pPr>
        <w:pStyle w:val="ListParagraph"/>
        <w:numPr>
          <w:ilvl w:val="0"/>
          <w:numId w:val="1"/>
        </w:numPr>
        <w:spacing w:before="0" w:after="80"/>
        <w:rPr/>
      </w:pPr>
      <w:r>
        <w:rPr>
          <w:rFonts w:eastAsia="Arial" w:cs="Arial"/>
          <w:color w:val="2D3748"/>
          <w:sz w:val="22"/>
          <w:szCs w:val="22"/>
        </w:rPr>
        <w:t>Scikit-learn — ensemble models, preprocessing</w:t>
      </w:r>
    </w:p>
    <w:p>
      <w:pPr>
        <w:pStyle w:val="ListParagraph"/>
        <w:numPr>
          <w:ilvl w:val="0"/>
          <w:numId w:val="1"/>
        </w:numPr>
        <w:spacing w:before="0" w:after="80"/>
        <w:rPr/>
      </w:pPr>
      <w:r>
        <w:rPr>
          <w:rFonts w:eastAsia="Arial" w:cs="Arial"/>
          <w:color w:val="2D3748"/>
          <w:sz w:val="22"/>
          <w:szCs w:val="22"/>
        </w:rPr>
        <w:t>Pandas — data manipulation and feature engineering</w:t>
      </w:r>
    </w:p>
    <w:p>
      <w:pPr>
        <w:pStyle w:val="ListParagraph"/>
        <w:numPr>
          <w:ilvl w:val="0"/>
          <w:numId w:val="1"/>
        </w:numPr>
        <w:spacing w:before="0" w:after="80"/>
        <w:rPr/>
      </w:pPr>
      <w:r>
        <w:rPr>
          <w:rFonts w:eastAsia="Arial" w:cs="Arial"/>
          <w:color w:val="2D3748"/>
          <w:sz w:val="22"/>
          <w:szCs w:val="22"/>
        </w:rPr>
        <w:t>Matplotlib / Seaborn — visualisations</w:t>
      </w:r>
    </w:p>
    <w:p>
      <w:pPr>
        <w:pStyle w:val="ListParagraph"/>
        <w:numPr>
          <w:ilvl w:val="0"/>
          <w:numId w:val="1"/>
        </w:numPr>
        <w:spacing w:before="0" w:after="80"/>
        <w:rPr/>
      </w:pPr>
      <w:r>
        <w:rPr>
          <w:rFonts w:eastAsia="Arial" w:cs="Arial"/>
          <w:color w:val="2D3748"/>
          <w:sz w:val="22"/>
          <w:szCs w:val="22"/>
        </w:rPr>
        <w:t>Flask 3.1 — web application backend</w:t>
      </w:r>
    </w:p>
    <w:p>
      <w:pPr>
        <w:pStyle w:val="ListParagraph"/>
        <w:numPr>
          <w:ilvl w:val="0"/>
          <w:numId w:val="1"/>
        </w:numPr>
        <w:spacing w:before="0" w:after="80"/>
        <w:rPr/>
      </w:pPr>
      <w:r>
        <w:rPr>
          <w:rFonts w:eastAsia="Arial" w:cs="Arial"/>
          <w:color w:val="2D3748"/>
          <w:sz w:val="22"/>
          <w:szCs w:val="22"/>
        </w:rPr>
        <w:t>PptxGenJS — presentation generation</w:t>
      </w:r>
    </w:p>
    <w:p>
      <w:pPr>
        <w:pStyle w:val="ListParagraph"/>
        <w:numPr>
          <w:ilvl w:val="0"/>
          <w:numId w:val="1"/>
        </w:numPr>
        <w:spacing w:before="0" w:after="80"/>
        <w:rPr/>
      </w:pPr>
      <w:r>
        <w:rPr>
          <w:rFonts w:eastAsia="Arial" w:cs="Arial"/>
          <w:color w:val="2D3748"/>
          <w:sz w:val="22"/>
          <w:szCs w:val="22"/>
        </w:rPr>
        <w:t>docx (Node.js) — report generation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3D0E0"/>
      </w:pBd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3D0E0"/>
      </w:pBd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3D0E0"/>
      </w:pBdr>
      <w:jc w:val="right"/>
      <w:rPr>
        <w:rFonts w:ascii="Arial" w:hAnsi="Arial" w:eastAsia="Arial" w:cs="Arial"/>
        <w:color w:val="4A5568"/>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3D0E0"/>
      </w:pBdr>
      <w:jc w:val="right"/>
      <w:rPr>
        <w:rFonts w:ascii="Arial" w:hAnsi="Arial" w:eastAsia="Arial" w:cs="Arial"/>
        <w:color w:val="4A5568"/>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A3A6E"/>
      <w:sz w:val="32"/>
      <w:szCs w:val="32"/>
    </w:rPr>
  </w:style>
  <w:style w:type="paragraph" w:styleId="Heading2">
    <w:name w:val="Heading 2"/>
    <w:basedOn w:val="Heading"/>
    <w:qFormat/>
    <w:pPr>
      <w:spacing w:before="280" w:after="120"/>
      <w:outlineLvl w:val="1"/>
    </w:pPr>
    <w:rPr>
      <w:rFonts w:ascii="Arial" w:hAnsi="Arial" w:eastAsia="Arial" w:cs="Arial"/>
      <w:b/>
      <w:bCs/>
      <w:color w:val="1A5EB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6</Pages>
  <Words>1359</Words>
  <Characters>8307</Characters>
  <CharactersWithSpaces>9486</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2026-03-26T16:30:07Z</dcterms:created>
  <dc:creator>Un-named</dc:creator>
  <dc:description/>
  <dc:language>en-US</dc:language>
  <cp:lastModifiedBy/>
  <dcterms:modified xsi:type="dcterms:W3CDTF">2026-03-29T14:24:05Z</dcterms:modified>
  <cp:revision>3</cp:revision>
  <dc:subject/>
  <dc:title/>
</cp:coreProperties>
</file>