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26 june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LTVIP2025TMID33880</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Transfer Learning-Based Classification Of PoultryDiseases For Enhanced Health Management</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11"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00129C" w:rsidDel="00000000" w:rsidP="00000000" w:rsidRDefault="0000129C" w:rsidRPr="00000000" w14:paraId="7200F033" w14:textId="77777777">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00000"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4" name="image5.png"/>
            <a:graphic>
              <a:graphicData uri="http://schemas.openxmlformats.org/drawingml/2006/picture">
                <pic:pic>
                  <pic:nvPicPr>
                    <pic:cNvPr descr="Diagram, timeline&#10;&#10;Description automatically generated" id="0" name="image5.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dashboard after Gmail authentication</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securely access my account with login credentials</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 detecion</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upload poultry images and get the disease classification result.</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get accurate prediction and confidence score</w:t>
              <w:tab/>
              <w:t xml:space="preserve">High</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a dashboard showing disease history and trends.</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I can view history, graphs, and summaries of disease detections</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Feedback management</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As an executive, I can review user feedback and flag incorrect classifications.</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I can view flagged entries and send them to admin for review</w:t>
              <w:tab/>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Model update</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retrain the model using newly collected images and feedback.</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Updated model improves classification accuracy</w:t>
              <w:tab/>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 I can manage user accounts, reset passwords, and control access.</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activate/deactivate accounts and perform admin actions</w:t>
              <w:tab/>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Poltry farmer (mobile)</w:t>
            </w:r>
          </w:p>
        </w:tc>
        <w:tc>
          <w:tcPr/>
          <w:p w:rsidR="00000000" w:rsidDel="00000000" w:rsidP="00000000" w:rsidRDefault="00000000" w:rsidRPr="00000000" w14:paraId="0000006B">
            <w:pPr>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User registration</w:t>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by providing name, mobile number, email, and password.</w:t>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Successful registration redirects me to the home screen.</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bl>
    <w:p w:rsidR="00000000" w:rsidDel="00000000" w:rsidP="00000000" w:rsidRDefault="00000000" w:rsidRPr="00000000" w14:paraId="00000071">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MGYbk2F1JoWEecAa512mZMOH4g==">CgMxLjA4AHIhMUdHS0pOQ09IRVhUNFduR0stVWxJUFR3bm1JYl94Smt0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2025-07-20T15:30:00Z</dcterms:created>
  <dc:creator>Amarender Katkam</dc:creator>
</cp:coreProperties>
</file>