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rPr>
        <w:t xml:space="preserve">Valifides, Explained Simply</w:t>
      </w:r>
    </w:p>
    <w:p>
      <w:pPr>
        <w:pBdr>
          <w:bottom w:val="single" w:color="BBBBBB" w:sz="6" w:space="6"/>
        </w:pBdr>
        <w:spacing w:after="240"/>
      </w:pPr>
      <w:r>
        <w:rPr>
          <w:rFonts w:ascii="Arial" w:cs="Arial" w:eastAsia="Arial" w:hAnsi="Arial"/>
          <w:color w:val="555555"/>
          <w:sz w:val="20"/>
          <w:szCs w:val="20"/>
        </w:rPr>
        <w:t xml:space="preserve">A plain-language companion to the Valifides Global Pitch Deck  ·  for investors, advisors and anyone new to insurance  ·  October 2026</w:t>
      </w:r>
    </w:p>
    <w:p>
      <w:pPr>
        <w:pBdr>
          <w:left w:val="single" w:color="D97706" w:sz="18" w:space="8"/>
        </w:pBdr>
        <w:shd w:fill="FEF3C7" w:color="auto" w:val="clear"/>
        <w:spacing w:after="160" w:before="60" w:line="276"/>
        <w:ind w:left="120" w:right="120"/>
      </w:pPr>
      <w:r>
        <w:rPr>
          <w:rFonts w:ascii="Arial" w:cs="Arial" w:eastAsia="Arial" w:hAnsi="Arial"/>
          <w:b/>
          <w:bCs/>
          <w:sz w:val="21"/>
          <w:szCs w:val="21"/>
        </w:rPr>
        <w:t xml:space="preserve">Read this first.</w:t>
      </w:r>
      <w:r>
        <w:rPr>
          <w:rFonts w:ascii="Arial" w:cs="Arial" w:eastAsia="Arial" w:hAnsi="Arial"/>
          <w:sz w:val="21"/>
          <w:szCs w:val="21"/>
        </w:rPr>
        <w:t xml:space="preserve"> Valifides is at an early stage. The product works on synthetic (made-up) data, the rules are drafts that still need review by lawyers in each country, and there are no paying customers yet. This document says so wherever it matters. Numbers in [brackets] are still to be decided by the founders.</w:t>
      </w:r>
    </w:p>
    <w:p>
      <w:pPr>
        <w:pStyle w:val="Heading1"/>
        <w:spacing w:after="140" w:before="320"/>
      </w:pPr>
      <w:r>
        <w:rPr>
          <w:rFonts w:ascii="Arial" w:cs="Arial" w:eastAsia="Arial" w:hAnsi="Arial"/>
        </w:rPr>
        <w:t xml:space="preserve">1. The idea in one sentence</w:t>
      </w:r>
    </w:p>
    <w:p>
      <w:pPr>
        <w:shd w:fill="F3F4F6" w:color="auto" w:val="clear"/>
        <w:spacing w:after="160" w:before="60" w:line="276"/>
        <w:ind w:left="240" w:right="240"/>
      </w:pPr>
      <w:r>
        <w:rPr>
          <w:rFonts w:ascii="Arial" w:cs="Arial" w:eastAsia="Arial" w:hAnsi="Arial"/>
          <w:sz w:val="21"/>
          <w:szCs w:val="21"/>
        </w:rPr>
        <w:t xml:space="preserve">Valifides makes sure that when an insurance company’s AI says “deny this claim”, a rule check and, where needed, a qualified person stand between that AI and the customer, and it keeps proof for the regulator.</w:t>
      </w:r>
    </w:p>
    <w:p>
      <w:pPr>
        <w:spacing w:after="140" w:line="288"/>
      </w:pPr>
      <w:r>
        <w:rPr>
          <w:rFonts w:ascii="Arial" w:cs="Arial" w:eastAsia="Arial" w:hAnsi="Arial"/>
          <w:b/>
          <w:bCs/>
          <w:sz w:val="21"/>
          <w:szCs w:val="21"/>
        </w:rPr>
        <w:t xml:space="preserve">An everyday comparison.</w:t>
      </w:r>
      <w:r>
        <w:rPr>
          <w:rFonts w:ascii="Arial" w:cs="Arial" w:eastAsia="Arial" w:hAnsi="Arial"/>
          <w:sz w:val="21"/>
          <w:szCs w:val="21"/>
        </w:rPr>
        <w:t xml:space="preserve"> Think of a bank’s card payments. A computer decides in milliseconds whether to approve your payment, but every payment also passes fixed checks (is the card blocked? is it over the limit?) and leaves a record. Insurance claims are now decided with AI too, but in most insurers there is no equivalent check at the moment a claim is refused. Valifides is that check.</w:t>
      </w:r>
    </w:p>
    <w:p>
      <w:pPr>
        <w:pStyle w:val="Heading1"/>
        <w:spacing w:after="140" w:before="320"/>
      </w:pPr>
      <w:r>
        <w:rPr>
          <w:rFonts w:ascii="Arial" w:cs="Arial" w:eastAsia="Arial" w:hAnsi="Arial"/>
        </w:rPr>
        <w:t xml:space="preserve">2. The problem, from the beginning</w:t>
      </w:r>
    </w:p>
    <w:p>
      <w:pPr>
        <w:pStyle w:val="Heading2"/>
        <w:spacing w:after="100" w:before="220"/>
      </w:pPr>
      <w:r>
        <w:rPr>
          <w:rFonts w:ascii="Arial" w:cs="Arial" w:eastAsia="Arial" w:hAnsi="Arial"/>
        </w:rPr>
        <w:t xml:space="preserve">What is a claim?</w:t>
      </w:r>
    </w:p>
    <w:p>
      <w:pPr>
        <w:spacing w:after="140" w:line="288"/>
      </w:pPr>
      <w:r>
        <w:rPr>
          <w:rFonts w:ascii="Arial" w:cs="Arial" w:eastAsia="Arial" w:hAnsi="Arial"/>
          <w:sz w:val="21"/>
          <w:szCs w:val="21"/>
        </w:rPr>
        <w:t xml:space="preserve">When something goes wrong (a car accident, a hospital stay, a flooded kitchen), the policyholder asks the insurer to pay. That request is a </w:t>
      </w:r>
      <w:r>
        <w:rPr>
          <w:rFonts w:ascii="Arial" w:cs="Arial" w:eastAsia="Arial" w:hAnsi="Arial"/>
          <w:b/>
          <w:bCs/>
          <w:sz w:val="21"/>
          <w:szCs w:val="21"/>
        </w:rPr>
        <w:t xml:space="preserve">claim</w:t>
      </w:r>
      <w:r>
        <w:rPr>
          <w:rFonts w:ascii="Arial" w:cs="Arial" w:eastAsia="Arial" w:hAnsi="Arial"/>
          <w:sz w:val="21"/>
          <w:szCs w:val="21"/>
        </w:rPr>
        <w:t xml:space="preserve">. The insurer can pay in full, pay part of it, ask for more documents, or refuse it.</w:t>
      </w:r>
    </w:p>
    <w:p>
      <w:pPr>
        <w:pStyle w:val="Heading2"/>
        <w:spacing w:after="100" w:before="220"/>
      </w:pPr>
      <w:r>
        <w:rPr>
          <w:rFonts w:ascii="Arial" w:cs="Arial" w:eastAsia="Arial" w:hAnsi="Arial"/>
        </w:rPr>
        <w:t xml:space="preserve">Where AI comes in</w:t>
      </w:r>
    </w:p>
    <w:p>
      <w:pPr>
        <w:spacing w:after="140" w:line="288"/>
      </w:pPr>
      <w:r>
        <w:rPr>
          <w:rFonts w:ascii="Arial" w:cs="Arial" w:eastAsia="Arial" w:hAnsi="Arial"/>
          <w:sz w:val="21"/>
          <w:szCs w:val="21"/>
        </w:rPr>
        <w:t xml:space="preserve">Insurers handle huge volumes of claims, so they use AI to speed things up: to read medical bills and repair photos, to estimate damage, to decide which claims can be paid straight away, and to score how likely a claim is to be fraudulent. A 2026 industry survey found that about three in four US insurers use AI in claims or underwriting.</w:t>
      </w:r>
    </w:p>
    <w:p>
      <w:pPr>
        <w:pStyle w:val="Heading2"/>
        <w:spacing w:after="100" w:before="220"/>
      </w:pPr>
      <w:r>
        <w:rPr>
          <w:rFonts w:ascii="Arial" w:cs="Arial" w:eastAsia="Arial" w:hAnsi="Arial"/>
        </w:rPr>
        <w:t xml:space="preserve">What goes wrong</w:t>
      </w:r>
    </w:p>
    <w:p>
      <w:pPr>
        <w:spacing w:after="140" w:line="288"/>
      </w:pPr>
      <w:r>
        <w:rPr>
          <w:rFonts w:ascii="Arial" w:cs="Arial" w:eastAsia="Arial" w:hAnsi="Arial"/>
          <w:sz w:val="21"/>
          <w:szCs w:val="21"/>
        </w:rPr>
        <w:t xml:space="preserve">AI is fast but it can be wrong, biased, or used in ways the law does not allow. Examples: a fraud score of 0.93 becomes a denial letter without anyone investigating; a model leans on a postcode, which can stand in for race or income; a claim is paid weeks late and the insurer owes interest; a customer is refused for an honest mistake on an application form that, by law, cannot justify a refusal.</w:t>
      </w:r>
    </w:p>
    <w:p>
      <w:pPr>
        <w:spacing w:after="140" w:line="288"/>
      </w:pPr>
      <w:r>
        <w:rPr>
          <w:rFonts w:ascii="Arial" w:cs="Arial" w:eastAsia="Arial" w:hAnsi="Arial"/>
          <w:sz w:val="21"/>
          <w:szCs w:val="21"/>
        </w:rPr>
        <w:t xml:space="preserve">When a customer complains, the regulator asks a simple question: </w:t>
      </w:r>
      <w:r>
        <w:rPr>
          <w:rFonts w:ascii="Arial" w:cs="Arial" w:eastAsia="Arial" w:hAnsi="Arial"/>
          <w:b/>
          <w:bCs/>
          <w:sz w:val="21"/>
          <w:szCs w:val="21"/>
        </w:rPr>
        <w:t xml:space="preserve">who checked this before it happened?</w:t>
      </w:r>
      <w:r>
        <w:rPr>
          <w:rFonts w:ascii="Arial" w:cs="Arial" w:eastAsia="Arial" w:hAnsi="Arial"/>
          <w:sz w:val="21"/>
          <w:szCs w:val="21"/>
        </w:rPr>
        <w:t xml:space="preserve"> Today most insurers can show a policy document saying humans oversee AI, but they cannot show, for that specific claim, that anyone actually did.</w:t>
      </w:r>
    </w:p>
    <w:p>
      <w:pPr>
        <w:pStyle w:val="Heading2"/>
        <w:spacing w:after="100" w:before="220"/>
      </w:pPr>
      <w:r>
        <w:rPr>
          <w:rFonts w:ascii="Arial" w:cs="Arial" w:eastAsia="Arial" w:hAnsi="Arial"/>
        </w:rPr>
        <w:t xml:space="preserve">The story on slide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4102"/>
        <w:gridCol w:w="4104"/>
      </w:tblGrid>
      <w:tr>
        <w:trPr>
          <w:tblHeader/>
        </w:trPr>
        <w:tc>
          <w:tcPr>
            <w:tcW w:type="dxa" w:w="820"/>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Step</w:t>
            </w:r>
          </w:p>
        </w:tc>
        <w:tc>
          <w:tcPr>
            <w:tcW w:type="dxa" w:w="4102"/>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Today</w:t>
            </w:r>
          </w:p>
        </w:tc>
        <w:tc>
          <w:tcPr>
            <w:tcW w:type="dxa" w:w="4104"/>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With Valifides</w:t>
            </w:r>
          </w:p>
        </w:tc>
      </w:tr>
      <w:tr>
        <w:tc>
          <w:tcPr>
            <w:tcW w:type="dxa" w:w="82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1</w:t>
            </w:r>
          </w:p>
        </w:tc>
        <w:tc>
          <w:tcPr>
            <w:tcW w:type="dxa" w:w="410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The AI scores a family’s home claim 0.93 for fraud.</w:t>
            </w:r>
          </w:p>
        </w:tc>
        <w:tc>
          <w:tcPr>
            <w:tcW w:type="dxa" w:w="410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The same score arrives as a proposed denial.</w:t>
            </w:r>
          </w:p>
        </w:tc>
      </w:tr>
      <w:tr>
        <w:tc>
          <w:tcPr>
            <w:tcW w:type="dxa" w:w="82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2</w:t>
            </w:r>
          </w:p>
        </w:tc>
        <w:tc>
          <w:tcPr>
            <w:tcW w:type="dxa" w:w="410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 denial letter goes out the same day. Nobody investigated.</w:t>
            </w:r>
          </w:p>
        </w:tc>
        <w:tc>
          <w:tcPr>
            <w:tcW w:type="dxa" w:w="410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Valifides checks it in under a millisecond: a fraud score alone cannot deny a claim.</w:t>
            </w:r>
          </w:p>
        </w:tc>
      </w:tr>
      <w:tr>
        <w:tc>
          <w:tcPr>
            <w:tcW w:type="dxa" w:w="82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3</w:t>
            </w:r>
          </w:p>
        </w:tc>
        <w:tc>
          <w:tcPr>
            <w:tcW w:type="dxa" w:w="410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The family complains. The regulator asks who reviewed it.</w:t>
            </w:r>
          </w:p>
        </w:tc>
        <w:tc>
          <w:tcPr>
            <w:tcW w:type="dxa" w:w="410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The denial is stopped and sent to an investigator, with the reason and the rule.</w:t>
            </w:r>
          </w:p>
        </w:tc>
      </w:tr>
      <w:tr>
        <w:tc>
          <w:tcPr>
            <w:tcW w:type="dxa" w:w="82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4</w:t>
            </w:r>
          </w:p>
        </w:tc>
        <w:tc>
          <w:tcPr>
            <w:tcW w:type="dxa" w:w="410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The insurer cannot show anyone did. Fines, remediation, headlines.</w:t>
            </w:r>
          </w:p>
        </w:tc>
        <w:tc>
          <w:tcPr>
            <w:tcW w:type="dxa" w:w="410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Every step is in a tamper-evident record the insurer can hand over.</w:t>
            </w:r>
          </w:p>
        </w:tc>
      </w:tr>
    </w:tbl>
    <w:p>
      <w:pPr>
        <w:spacing w:after="120"/>
      </w:pPr>
    </w:p>
    <w:p>
      <w:pPr>
        <w:pStyle w:val="Heading1"/>
        <w:spacing w:after="140" w:before="320"/>
      </w:pPr>
      <w:r>
        <w:rPr>
          <w:rFonts w:ascii="Arial" w:cs="Arial" w:eastAsia="Arial" w:hAnsi="Arial"/>
        </w:rPr>
        <w:t xml:space="preserve">3. Why now</w:t>
      </w:r>
    </w:p>
    <w:p>
      <w:pPr>
        <w:spacing w:after="140" w:line="288"/>
      </w:pPr>
      <w:r>
        <w:rPr>
          <w:rFonts w:ascii="Arial" w:cs="Arial" w:eastAsia="Arial" w:hAnsi="Arial"/>
          <w:sz w:val="21"/>
          <w:szCs w:val="21"/>
        </w:rPr>
        <w:t xml:space="preserve">Regulators in all four of our markets moved in the last two years. None of them uses the same words, but they are all asking whether insurers can show human oversight of AI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4102"/>
        <w:gridCol w:w="3283"/>
      </w:tblGrid>
      <w:tr>
        <w:trPr>
          <w:tblHeader/>
        </w:trPr>
        <w:tc>
          <w:tcPr>
            <w:tcW w:type="dxa" w:w="1641"/>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Market</w:t>
            </w:r>
          </w:p>
        </w:tc>
        <w:tc>
          <w:tcPr>
            <w:tcW w:type="dxa" w:w="4102"/>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What changed</w:t>
            </w:r>
          </w:p>
        </w:tc>
        <w:tc>
          <w:tcPr>
            <w:tcW w:type="dxa" w:w="3283"/>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In plain words</w:t>
            </w:r>
          </w:p>
        </w:tc>
      </w:tr>
      <w:tr>
        <w:tc>
          <w:tcPr>
            <w:tcW w:type="dxa" w:w="164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India</w:t>
            </w:r>
          </w:p>
        </w:tc>
        <w:tc>
          <w:tcPr>
            <w:tcW w:type="dxa" w:w="410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IRDAI formed an AI working group in June 2026, naming claims and fraud as priorities. The data protection law (DPDP) applies in full from 13 May 2027.</w:t>
            </w:r>
          </w:p>
        </w:tc>
        <w:tc>
          <w:tcPr>
            <w:tcW w:type="dxa" w:w="328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The rules for AI in Indian insurance are being written right now. About ₹10,937 crore of health claims were repudiated in FY24.</w:t>
            </w:r>
          </w:p>
        </w:tc>
      </w:tr>
      <w:tr>
        <w:tc>
          <w:tcPr>
            <w:tcW w:type="dxa" w:w="164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United States</w:t>
            </w:r>
          </w:p>
        </w:tc>
        <w:tc>
          <w:tcPr>
            <w:tcW w:type="dxa" w:w="410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26 of 51 insurance jurisdictions have adopted the NAIC model bulletin on AI. State laws already set claim deadlines and what a denial letter must contain.</w:t>
            </w:r>
          </w:p>
        </w:tc>
        <w:tc>
          <w:tcPr>
            <w:tcW w:type="dxa" w:w="328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Insurers are expected to govern AI used in claims and can be examined on it.</w:t>
            </w:r>
          </w:p>
        </w:tc>
      </w:tr>
      <w:tr>
        <w:tc>
          <w:tcPr>
            <w:tcW w:type="dxa" w:w="164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United Kingdom</w:t>
            </w:r>
          </w:p>
        </w:tc>
        <w:tc>
          <w:tcPr>
            <w:tcW w:type="dxa" w:w="410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The FCA made fair claims handling a 2026 priority. New rules on automated decisions took effect on 5 Feb 2026.</w:t>
            </w:r>
          </w:p>
        </w:tc>
        <w:tc>
          <w:tcPr>
            <w:tcW w:type="dxa" w:w="328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Claims and AI are both on the regulator’s list; customers must be able to get a human to look again.</w:t>
            </w:r>
          </w:p>
        </w:tc>
      </w:tr>
      <w:tr>
        <w:tc>
          <w:tcPr>
            <w:tcW w:type="dxa" w:w="164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European Union</w:t>
            </w:r>
          </w:p>
        </w:tc>
        <w:tc>
          <w:tcPr>
            <w:tcW w:type="dxa" w:w="410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The AI Act’s high-risk rules apply from 2 Dec 2027. EIOPA (the EU insurance supervisor) set out expectations for AI in insurance in Aug 2025. Courts have tightened rules on automated decisions.</w:t>
            </w:r>
          </w:p>
        </w:tc>
        <w:tc>
          <w:tcPr>
            <w:tcW w:type="dxa" w:w="328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AI decisions about people need human oversight, documentation and an explanation.</w:t>
            </w:r>
          </w:p>
        </w:tc>
      </w:tr>
    </w:tbl>
    <w:p>
      <w:pPr>
        <w:spacing w:after="120"/>
      </w:pPr>
    </w:p>
    <w:p>
      <w:pPr>
        <w:pStyle w:val="Heading1"/>
        <w:spacing w:after="140" w:before="320"/>
      </w:pPr>
      <w:r>
        <w:rPr>
          <w:rFonts w:ascii="Arial" w:cs="Arial" w:eastAsia="Arial" w:hAnsi="Arial"/>
        </w:rPr>
        <w:t xml:space="preserve">4. What Valifides does</w:t>
      </w:r>
    </w:p>
    <w:p>
      <w:pPr>
        <w:pStyle w:val="Heading2"/>
        <w:spacing w:after="100" w:before="220"/>
      </w:pPr>
      <w:r>
        <w:rPr>
          <w:rFonts w:ascii="Arial" w:cs="Arial" w:eastAsia="Arial" w:hAnsi="Arial"/>
        </w:rPr>
        <w:t xml:space="preserve">Where it sits</w:t>
      </w:r>
    </w:p>
    <w:p>
      <w:pPr>
        <w:spacing w:after="140" w:line="288"/>
      </w:pPr>
      <w:r>
        <w:rPr>
          <w:rFonts w:ascii="Arial" w:cs="Arial" w:eastAsia="Arial" w:hAnsi="Arial"/>
          <w:sz w:val="21"/>
          <w:szCs w:val="21"/>
        </w:rPr>
        <w:t xml:space="preserve">Valifides is </w:t>
      </w:r>
      <w:r>
        <w:rPr>
          <w:rFonts w:ascii="Arial" w:cs="Arial" w:eastAsia="Arial" w:hAnsi="Arial"/>
          <w:b/>
          <w:bCs/>
          <w:sz w:val="21"/>
          <w:szCs w:val="21"/>
        </w:rPr>
        <w:t xml:space="preserve">middleware</w:t>
      </w:r>
      <w:r>
        <w:rPr>
          <w:rFonts w:ascii="Arial" w:cs="Arial" w:eastAsia="Arial" w:hAnsi="Arial"/>
          <w:sz w:val="21"/>
          <w:szCs w:val="21"/>
        </w:rPr>
        <w:t xml:space="preserve">: software that sits between two systems. Here it sits between the insurer’s AI and the step that actually pays or refuses the claim. Every proposed decision passes through it first.</w:t>
      </w:r>
    </w:p>
    <w:p>
      <w:pPr>
        <w:pStyle w:val="Heading2"/>
        <w:spacing w:after="100" w:before="220"/>
      </w:pPr>
      <w:r>
        <w:rPr>
          <w:rFonts w:ascii="Arial" w:cs="Arial" w:eastAsia="Arial" w:hAnsi="Arial"/>
        </w:rPr>
        <w:t xml:space="preserve">Three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3282"/>
        <w:gridCol w:w="4103"/>
      </w:tblGrid>
      <w:tr>
        <w:trPr>
          <w:tblHeader/>
        </w:trPr>
        <w:tc>
          <w:tcPr>
            <w:tcW w:type="dxa" w:w="1641"/>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Verdict</w:t>
            </w:r>
          </w:p>
        </w:tc>
        <w:tc>
          <w:tcPr>
            <w:tcW w:type="dxa" w:w="3282"/>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What happens</w:t>
            </w:r>
          </w:p>
        </w:tc>
        <w:tc>
          <w:tcPr>
            <w:tcW w:type="dxa" w:w="4103"/>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Example</w:t>
            </w:r>
          </w:p>
        </w:tc>
      </w:tr>
      <w:tr>
        <w:tc>
          <w:tcPr>
            <w:tcW w:type="dxa" w:w="164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APPROVE</w:t>
            </w:r>
          </w:p>
        </w:tc>
        <w:tc>
          <w:tcPr>
            <w:tcW w:type="dxa" w:w="32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The decision goes ahead.</w:t>
            </w:r>
          </w:p>
        </w:tc>
        <w:tc>
          <w:tcPr>
            <w:tcW w:type="dxa" w:w="410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 claim paid in full, on time, with the model version recorded.</w:t>
            </w:r>
          </w:p>
        </w:tc>
      </w:tr>
      <w:tr>
        <w:tc>
          <w:tcPr>
            <w:tcW w:type="dxa" w:w="164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ESCALATE</w:t>
            </w:r>
          </w:p>
        </w:tc>
        <w:tc>
          <w:tcPr>
            <w:tcW w:type="dxa" w:w="32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The decision waits for an authorised person.</w:t>
            </w:r>
          </w:p>
        </w:tc>
        <w:tc>
          <w:tcPr>
            <w:tcW w:type="dxa" w:w="410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An AI-recommended denial nobody qualified has reviewed yet.</w:t>
            </w:r>
          </w:p>
        </w:tc>
      </w:tr>
      <w:tr>
        <w:tc>
          <w:tcPr>
            <w:tcW w:type="dxa" w:w="164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BLOCK</w:t>
            </w:r>
          </w:p>
        </w:tc>
        <w:tc>
          <w:tcPr>
            <w:tcW w:type="dxa" w:w="32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The decision is stopped, with the reason and the rule.</w:t>
            </w:r>
          </w:p>
        </w:tc>
        <w:tc>
          <w:tcPr>
            <w:tcW w:type="dxa" w:w="4103"/>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 denial based only on a fraud score.</w:t>
            </w:r>
          </w:p>
        </w:tc>
      </w:tr>
    </w:tbl>
    <w:p>
      <w:pPr>
        <w:spacing w:after="120"/>
      </w:pPr>
    </w:p>
    <w:p>
      <w:pPr>
        <w:pStyle w:val="Heading2"/>
        <w:spacing w:after="100" w:before="220"/>
      </w:pPr>
      <w:r>
        <w:rPr>
          <w:rFonts w:ascii="Arial" w:cs="Arial" w:eastAsia="Arial" w:hAnsi="Arial"/>
        </w:rPr>
        <w:t xml:space="preserve">Fixed rules, not another AI</w:t>
      </w:r>
    </w:p>
    <w:p>
      <w:pPr>
        <w:spacing w:after="140" w:line="288"/>
      </w:pPr>
      <w:r>
        <w:rPr>
          <w:rFonts w:ascii="Arial" w:cs="Arial" w:eastAsia="Arial" w:hAnsi="Arial"/>
          <w:sz w:val="21"/>
          <w:szCs w:val="21"/>
        </w:rPr>
        <w:t xml:space="preserve">Valifides does not use AI to judge AI. It uses fixed rules a regulator can read, such as “a fraud score alone cannot deny a claim” or “in Texas, pay within 5 business days of accepting a claim”. The same input always gets the same answer, which is what regulators and courts need.</w:t>
      </w:r>
    </w:p>
    <w:p>
      <w:pPr>
        <w:pStyle w:val="Heading2"/>
        <w:spacing w:after="100" w:before="220"/>
      </w:pPr>
      <w:r>
        <w:rPr>
          <w:rFonts w:ascii="Arial" w:cs="Arial" w:eastAsia="Arial" w:hAnsi="Arial"/>
        </w:rPr>
        <w:t xml:space="preserve">The evidence record</w:t>
      </w:r>
    </w:p>
    <w:p>
      <w:pPr>
        <w:spacing w:after="140" w:line="288"/>
      </w:pPr>
      <w:r>
        <w:rPr>
          <w:rFonts w:ascii="Arial" w:cs="Arial" w:eastAsia="Arial" w:hAnsi="Arial"/>
          <w:sz w:val="21"/>
          <w:szCs w:val="21"/>
        </w:rPr>
        <w:t xml:space="preserve">Every check is saved with a </w:t>
      </w:r>
      <w:r>
        <w:rPr>
          <w:rFonts w:ascii="Arial" w:cs="Arial" w:eastAsia="Arial" w:hAnsi="Arial"/>
          <w:b/>
          <w:bCs/>
          <w:sz w:val="21"/>
          <w:szCs w:val="21"/>
        </w:rPr>
        <w:t xml:space="preserve">cryptographic fingerprint</w:t>
      </w:r>
      <w:r>
        <w:rPr>
          <w:rFonts w:ascii="Arial" w:cs="Arial" w:eastAsia="Arial" w:hAnsi="Arial"/>
          <w:sz w:val="21"/>
          <w:szCs w:val="21"/>
        </w:rPr>
        <w:t xml:space="preserve"> (a SHA-256 hash). If anyone later edits the record, the fingerprint no longer matches, so tampering is visible. The insurer can export these records for a regulator, an auditor or an ombudsman.</w:t>
      </w:r>
    </w:p>
    <w:p>
      <w:pPr>
        <w:pStyle w:val="Heading2"/>
        <w:spacing w:after="100" w:before="220"/>
      </w:pPr>
      <w:r>
        <w:rPr>
          <w:rFonts w:ascii="Arial" w:cs="Arial" w:eastAsia="Arial" w:hAnsi="Arial"/>
        </w:rPr>
        <w:t xml:space="preserve">Three modes, so trying it is safe</w:t>
      </w:r>
    </w:p>
    <w:p>
      <w:pPr>
        <w:pStyle w:val="ListParagraph"/>
        <w:numPr>
          <w:ilvl w:val="0"/>
          <w:numId w:val="2"/>
        </w:numPr>
        <w:spacing w:after="80" w:line="276"/>
      </w:pPr>
      <w:r>
        <w:rPr>
          <w:rFonts w:ascii="Arial" w:cs="Arial" w:eastAsia="Arial" w:hAnsi="Arial"/>
          <w:b/>
          <w:bCs/>
          <w:sz w:val="21"/>
          <w:szCs w:val="21"/>
        </w:rPr>
        <w:t xml:space="preserve">Shadow:</w:t>
      </w:r>
      <w:r>
        <w:rPr>
          <w:rFonts w:ascii="Arial" w:cs="Arial" w:eastAsia="Arial" w:hAnsi="Arial"/>
          <w:sz w:val="21"/>
          <w:szCs w:val="21"/>
        </w:rPr>
        <w:t xml:space="preserve"> Valifides watches a copy of each decision and records what it would have done. Nothing changes for customers.</w:t>
      </w:r>
    </w:p>
    <w:p>
      <w:pPr>
        <w:pStyle w:val="ListParagraph"/>
        <w:numPr>
          <w:ilvl w:val="0"/>
          <w:numId w:val="2"/>
        </w:numPr>
        <w:spacing w:after="80" w:line="276"/>
      </w:pPr>
      <w:r>
        <w:rPr>
          <w:rFonts w:ascii="Arial" w:cs="Arial" w:eastAsia="Arial" w:hAnsi="Arial"/>
          <w:b/>
          <w:bCs/>
          <w:sz w:val="21"/>
          <w:szCs w:val="21"/>
        </w:rPr>
        <w:t xml:space="preserve">Advisory:</w:t>
      </w:r>
      <w:r>
        <w:rPr>
          <w:rFonts w:ascii="Arial" w:cs="Arial" w:eastAsia="Arial" w:hAnsi="Arial"/>
          <w:sz w:val="21"/>
          <w:szCs w:val="21"/>
        </w:rPr>
        <w:t xml:space="preserve"> it returns its verdict; the insurer’s own system decides what to do with it.</w:t>
      </w:r>
    </w:p>
    <w:p>
      <w:pPr>
        <w:pStyle w:val="ListParagraph"/>
        <w:numPr>
          <w:ilvl w:val="0"/>
          <w:numId w:val="2"/>
        </w:numPr>
        <w:spacing w:after="80" w:line="276"/>
      </w:pPr>
      <w:r>
        <w:rPr>
          <w:rFonts w:ascii="Arial" w:cs="Arial" w:eastAsia="Arial" w:hAnsi="Arial"/>
          <w:b/>
          <w:bCs/>
          <w:sz w:val="21"/>
          <w:szCs w:val="21"/>
        </w:rPr>
        <w:t xml:space="preserve">Enforce:</w:t>
      </w:r>
      <w:r>
        <w:rPr>
          <w:rFonts w:ascii="Arial" w:cs="Arial" w:eastAsia="Arial" w:hAnsi="Arial"/>
          <w:sz w:val="21"/>
          <w:szCs w:val="21"/>
        </w:rPr>
        <w:t xml:space="preserve"> blocked decisions do not go ahead; escalated ones wait for a person.</w:t>
      </w:r>
    </w:p>
    <w:p>
      <w:pPr>
        <w:spacing w:after="140" w:line="288"/>
      </w:pPr>
      <w:r>
        <w:rPr>
          <w:rFonts w:ascii="Arial" w:cs="Arial" w:eastAsia="Arial" w:hAnsi="Arial"/>
          <w:sz w:val="21"/>
          <w:szCs w:val="21"/>
        </w:rPr>
        <w:t xml:space="preserve">The first thing an insurer buys is a </w:t>
      </w:r>
      <w:r>
        <w:rPr>
          <w:rFonts w:ascii="Arial" w:cs="Arial" w:eastAsia="Arial" w:hAnsi="Arial"/>
          <w:b/>
          <w:bCs/>
          <w:sz w:val="21"/>
          <w:szCs w:val="21"/>
        </w:rPr>
        <w:t xml:space="preserve">shadow replay</w:t>
      </w:r>
      <w:r>
        <w:rPr>
          <w:rFonts w:ascii="Arial" w:cs="Arial" w:eastAsia="Arial" w:hAnsi="Arial"/>
          <w:sz w:val="21"/>
          <w:szCs w:val="21"/>
        </w:rPr>
        <w:t xml:space="preserve">: we run months of its past decisions through Valifides and show it, in a report, where it would have been exposed.</w:t>
      </w:r>
    </w:p>
    <w:p>
      <w:pPr>
        <w:pStyle w:val="Heading1"/>
        <w:spacing w:after="140" w:before="320"/>
      </w:pPr>
      <w:r>
        <w:rPr>
          <w:rFonts w:ascii="Arial" w:cs="Arial" w:eastAsia="Arial" w:hAnsi="Arial"/>
        </w:rPr>
        <w:t xml:space="preserve">5. Same product, different countries</w:t>
      </w:r>
    </w:p>
    <w:p>
      <w:pPr>
        <w:spacing w:after="140" w:line="288"/>
      </w:pPr>
      <w:r>
        <w:rPr>
          <w:rFonts w:ascii="Arial" w:cs="Arial" w:eastAsia="Arial" w:hAnsi="Arial"/>
          <w:sz w:val="21"/>
          <w:szCs w:val="21"/>
        </w:rPr>
        <w:t xml:space="preserve">The checking engine, the screens, the evidence log and the API are identical everywhere. What changes is the </w:t>
      </w:r>
      <w:r>
        <w:rPr>
          <w:rFonts w:ascii="Arial" w:cs="Arial" w:eastAsia="Arial" w:hAnsi="Arial"/>
          <w:b/>
          <w:bCs/>
          <w:sz w:val="21"/>
          <w:szCs w:val="21"/>
        </w:rPr>
        <w:t xml:space="preserve">rule pack</w:t>
      </w:r>
      <w:r>
        <w:rPr>
          <w:rFonts w:ascii="Arial" w:cs="Arial" w:eastAsia="Arial" w:hAnsi="Arial"/>
          <w:sz w:val="21"/>
          <w:szCs w:val="21"/>
        </w:rPr>
        <w:t xml:space="preserve">: the set of rules for one market. Adding a country means writing and legally reviewing a new rule pack, not building a new 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2"/>
        <w:gridCol w:w="2082"/>
        <w:gridCol w:w="1110"/>
        <w:gridCol w:w="3752"/>
      </w:tblGrid>
      <w:tr>
        <w:trPr>
          <w:tblHeader/>
        </w:trPr>
        <w:tc>
          <w:tcPr>
            <w:tcW w:type="dxa" w:w="2082"/>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Rule pack</w:t>
            </w:r>
          </w:p>
        </w:tc>
        <w:tc>
          <w:tcPr>
            <w:tcW w:type="dxa" w:w="2082"/>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Covers</w:t>
            </w:r>
          </w:p>
        </w:tc>
        <w:tc>
          <w:tcPr>
            <w:tcW w:type="dxa" w:w="1110"/>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Rules</w:t>
            </w:r>
          </w:p>
        </w:tc>
        <w:tc>
          <w:tcPr>
            <w:tcW w:type="dxa" w:w="3752"/>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Examples of what it checks</w:t>
            </w:r>
          </w:p>
        </w:tc>
      </w:tr>
      <w:tr>
        <w:tc>
          <w:tcPr>
            <w:tcW w:type="dxa" w:w="20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IN-CLAIMS (India)</w:t>
            </w:r>
          </w:p>
        </w:tc>
        <w:tc>
          <w:tcPr>
            <w:tcW w:type="dxa" w:w="20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Health and motor</w:t>
            </w:r>
          </w:p>
        </w:tc>
        <w:tc>
          <w:tcPr>
            <w:tcW w:type="dxa" w:w="111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13</w:t>
            </w:r>
          </w:p>
        </w:tc>
        <w:tc>
          <w:tcPr>
            <w:tcW w:type="dxa" w:w="375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Cashless decisions within 1 hour; no denial for non-disclosure after 5 years of cover; claim data used only for claims.</w:t>
            </w:r>
          </w:p>
        </w:tc>
      </w:tr>
      <w:tr>
        <w:tc>
          <w:tcPr>
            <w:tcW w:type="dxa" w:w="20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US-PC-CLAIMS (United States)</w:t>
            </w:r>
          </w:p>
        </w:tc>
        <w:tc>
          <w:tcPr>
            <w:tcW w:type="dxa" w:w="20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Auto and homeowners in California, Texas, Florida</w:t>
            </w:r>
          </w:p>
        </w:tc>
        <w:tc>
          <w:tcPr>
            <w:tcW w:type="dxa" w:w="111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9</w:t>
            </w:r>
          </w:p>
        </w:tc>
        <w:tc>
          <w:tcPr>
            <w:tcW w:type="dxa" w:w="375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Denial names the policy term and facts; deadlines to acknowledge, decide and pay; ZIP code as a deciding factor goes to review.</w:t>
            </w:r>
          </w:p>
        </w:tc>
      </w:tr>
      <w:tr>
        <w:tc>
          <w:tcPr>
            <w:tcW w:type="dxa" w:w="20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UK-CLAIMS (United Kingdom)</w:t>
            </w:r>
          </w:p>
        </w:tc>
        <w:tc>
          <w:tcPr>
            <w:tcW w:type="dxa" w:w="20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Motor and home</w:t>
            </w:r>
          </w:p>
        </w:tc>
        <w:tc>
          <w:tcPr>
            <w:tcW w:type="dxa" w:w="111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10</w:t>
            </w:r>
          </w:p>
        </w:tc>
        <w:tc>
          <w:tcPr>
            <w:tcW w:type="dxa" w:w="375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No refusal for an innocent mistake on the application; automated declines must offer human review; extra care for vulnerable customers.</w:t>
            </w:r>
          </w:p>
        </w:tc>
      </w:tr>
      <w:tr>
        <w:tc>
          <w:tcPr>
            <w:tcW w:type="dxa" w:w="20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EU-CLAIMS (European Union)</w:t>
            </w:r>
          </w:p>
        </w:tc>
        <w:tc>
          <w:tcPr>
            <w:tcW w:type="dxa" w:w="20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Motor and private health; national rules for Germany</w:t>
            </w:r>
          </w:p>
        </w:tc>
        <w:tc>
          <w:tcPr>
            <w:tcW w:type="dxa" w:w="1110"/>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11</w:t>
            </w:r>
          </w:p>
        </w:tc>
        <w:tc>
          <w:tcPr>
            <w:tcW w:type="dxa" w:w="375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Fully automated health decisions need explicit consent; sex cannot decide the outcome; in Germany, an advance payment after one month.</w:t>
            </w:r>
          </w:p>
        </w:tc>
      </w:tr>
    </w:tbl>
    <w:p>
      <w:pPr>
        <w:spacing w:after="120"/>
      </w:pPr>
    </w:p>
    <w:p>
      <w:pPr>
        <w:spacing w:after="140" w:line="288"/>
      </w:pPr>
      <w:r>
        <w:rPr>
          <w:rFonts w:ascii="Arial" w:cs="Arial" w:eastAsia="Arial" w:hAnsi="Arial"/>
          <w:b/>
          <w:bCs/>
          <w:sz w:val="21"/>
          <w:szCs w:val="21"/>
        </w:rPr>
        <w:t xml:space="preserve">Selling order:</w:t>
      </w:r>
      <w:r>
        <w:rPr>
          <w:rFonts w:ascii="Arial" w:cs="Arial" w:eastAsia="Arial" w:hAnsi="Arial"/>
          <w:sz w:val="21"/>
          <w:szCs w:val="21"/>
        </w:rPr>
        <w:t xml:space="preserve"> India first, the US next. The UK and EU packs are built as working demos to prove the approach; we sell there only after paying customers in India and the US, and through partners.</w:t>
      </w:r>
    </w:p>
    <w:p>
      <w:pPr>
        <w:pStyle w:val="Heading1"/>
        <w:spacing w:after="140" w:before="320"/>
      </w:pPr>
      <w:r>
        <w:rPr>
          <w:rFonts w:ascii="Arial" w:cs="Arial" w:eastAsia="Arial" w:hAnsi="Arial"/>
        </w:rPr>
        <w:t xml:space="preserve">6. What is built today</w:t>
      </w:r>
    </w:p>
    <w:p>
      <w:pPr>
        <w:pStyle w:val="ListParagraph"/>
        <w:numPr>
          <w:ilvl w:val="0"/>
          <w:numId w:val="3"/>
        </w:numPr>
        <w:spacing w:after="80" w:line="276"/>
      </w:pPr>
      <w:r>
        <w:rPr>
          <w:rFonts w:ascii="Arial" w:cs="Arial" w:eastAsia="Arial" w:hAnsi="Arial"/>
          <w:sz w:val="21"/>
          <w:szCs w:val="21"/>
        </w:rPr>
        <w:t xml:space="preserve">A working web application with a market switch for India, the US, the UK and the EU.</w:t>
      </w:r>
    </w:p>
    <w:p>
      <w:pPr>
        <w:pStyle w:val="ListParagraph"/>
        <w:numPr>
          <w:ilvl w:val="0"/>
          <w:numId w:val="3"/>
        </w:numPr>
        <w:spacing w:after="80" w:line="276"/>
      </w:pPr>
      <w:r>
        <w:rPr>
          <w:rFonts w:ascii="Arial" w:cs="Arial" w:eastAsia="Arial" w:hAnsi="Arial"/>
          <w:sz w:val="21"/>
          <w:szCs w:val="21"/>
        </w:rPr>
        <w:t xml:space="preserve">Four rule packs with 43 rules, each naming its legal source and how settled that source is.</w:t>
      </w:r>
    </w:p>
    <w:p>
      <w:pPr>
        <w:pStyle w:val="ListParagraph"/>
        <w:numPr>
          <w:ilvl w:val="0"/>
          <w:numId w:val="3"/>
        </w:numPr>
        <w:spacing w:after="80" w:line="276"/>
      </w:pPr>
      <w:r>
        <w:rPr>
          <w:rFonts w:ascii="Arial" w:cs="Arial" w:eastAsia="Arial" w:hAnsi="Arial"/>
          <w:sz w:val="21"/>
          <w:szCs w:val="21"/>
        </w:rPr>
        <w:t xml:space="preserve">Shadow, Advisory and Enforce modes; an escalation queue where a reviewer signs off and the decision is re-checked; an evidence log with verify and export.</w:t>
      </w:r>
    </w:p>
    <w:p>
      <w:pPr>
        <w:pStyle w:val="ListParagraph"/>
        <w:numPr>
          <w:ilvl w:val="0"/>
          <w:numId w:val="3"/>
        </w:numPr>
        <w:spacing w:after="80" w:line="276"/>
      </w:pPr>
      <w:r>
        <w:rPr>
          <w:rFonts w:ascii="Arial" w:cs="Arial" w:eastAsia="Arial" w:hAnsi="Arial"/>
          <w:sz w:val="21"/>
          <w:szCs w:val="21"/>
        </w:rPr>
        <w:t xml:space="preserve">A shadow replay of 240 synthetic decisions per market. India: 73 would be escalated, 23 blocked. US: 95 escalated, 22 blocked, about $1,210 of Texas penalty interest found. UK: 58 escalated, 25 blocked. EU: 46 escalated, 28 blocked.</w:t>
      </w:r>
    </w:p>
    <w:p>
      <w:pPr>
        <w:pStyle w:val="ListParagraph"/>
        <w:numPr>
          <w:ilvl w:val="0"/>
          <w:numId w:val="3"/>
        </w:numPr>
        <w:spacing w:after="80" w:line="276"/>
      </w:pPr>
      <w:r>
        <w:rPr>
          <w:rFonts w:ascii="Arial" w:cs="Arial" w:eastAsia="Arial" w:hAnsi="Arial"/>
          <w:sz w:val="21"/>
          <w:szCs w:val="21"/>
        </w:rPr>
        <w:t xml:space="preserve">An API so an insurer’s systems can call Valifides directly, and 44 automated tests.</w:t>
      </w:r>
    </w:p>
    <w:p>
      <w:pPr>
        <w:pStyle w:val="ListParagraph"/>
        <w:numPr>
          <w:ilvl w:val="0"/>
          <w:numId w:val="3"/>
        </w:numPr>
        <w:spacing w:after="80" w:line="276"/>
      </w:pPr>
      <w:r>
        <w:rPr>
          <w:rFonts w:ascii="Arial" w:cs="Arial" w:eastAsia="Arial" w:hAnsi="Arial"/>
          <w:sz w:val="21"/>
          <w:szCs w:val="21"/>
        </w:rPr>
        <w:t xml:space="preserve">Each check takes a few thousandths of a millisecond, so it adds no noticeable delay.</w:t>
      </w:r>
    </w:p>
    <w:p>
      <w:pPr>
        <w:pBdr>
          <w:left w:val="single" w:color="D97706" w:sz="18" w:space="8"/>
        </w:pBdr>
        <w:shd w:fill="FEF3C7" w:color="auto" w:val="clear"/>
        <w:spacing w:after="160" w:before="60" w:line="276"/>
        <w:ind w:left="120" w:right="120"/>
      </w:pPr>
      <w:r>
        <w:rPr>
          <w:rFonts w:ascii="Arial" w:cs="Arial" w:eastAsia="Arial" w:hAnsi="Arial"/>
          <w:b/>
          <w:bCs/>
          <w:sz w:val="21"/>
          <w:szCs w:val="21"/>
        </w:rPr>
        <w:t xml:space="preserve">Honest limits:</w:t>
      </w:r>
      <w:r>
        <w:rPr>
          <w:rFonts w:ascii="Arial" w:cs="Arial" w:eastAsia="Arial" w:hAnsi="Arial"/>
          <w:sz w:val="21"/>
          <w:szCs w:val="21"/>
        </w:rPr>
        <w:t xml:space="preserve"> synthetic data only; rules are drafts compiled from public sources and need review by insurance lawyers in each country; it does not yet run inside an insurer’s own cloud with logins and storage; no security certification yet.</w:t>
      </w:r>
    </w:p>
    <w:p>
      <w:pPr>
        <w:pStyle w:val="Heading1"/>
        <w:spacing w:after="140" w:before="320"/>
      </w:pPr>
      <w:r>
        <w:rPr>
          <w:rFonts w:ascii="Arial" w:cs="Arial" w:eastAsia="Arial" w:hAnsi="Arial"/>
        </w:rPr>
        <w:t xml:space="preserve">7. Market and scope</w:t>
      </w:r>
    </w:p>
    <w:p>
      <w:pPr>
        <w:spacing w:after="140" w:line="288"/>
      </w:pPr>
      <w:r>
        <w:rPr>
          <w:rFonts w:ascii="Arial" w:cs="Arial" w:eastAsia="Arial" w:hAnsi="Arial"/>
          <w:b/>
          <w:bCs/>
          <w:sz w:val="21"/>
          <w:szCs w:val="21"/>
        </w:rPr>
        <w:t xml:space="preserve">India</w:t>
      </w:r>
      <w:r>
        <w:rPr>
          <w:rFonts w:ascii="Arial" w:cs="Arial" w:eastAsia="Arial" w:hAnsi="Arial"/>
          <w:sz w:val="21"/>
          <w:szCs w:val="21"/>
        </w:rPr>
        <w:t xml:space="preserve"> is the starting market. Two independent estimates put the opportunity at about </w:t>
      </w:r>
      <w:r>
        <w:rPr>
          <w:rFonts w:ascii="Arial" w:cs="Arial" w:eastAsia="Arial" w:hAnsi="Arial"/>
          <w:b/>
          <w:bCs/>
          <w:sz w:val="21"/>
          <w:szCs w:val="21"/>
        </w:rPr>
        <w:t xml:space="preserve">₹10–30 crore a year</w:t>
      </w:r>
      <w:r>
        <w:rPr>
          <w:rFonts w:ascii="Arial" w:cs="Arial" w:eastAsia="Arial" w:hAnsi="Arial"/>
          <w:sz w:val="21"/>
          <w:szCs w:val="21"/>
        </w:rPr>
        <w:t xml:space="preserve"> for health and motor claims. That is small on its own, so India’s job is to win the first reference customers quickly and in person.</w:t>
      </w:r>
    </w:p>
    <w:p>
      <w:pPr>
        <w:spacing w:after="140" w:line="288"/>
      </w:pPr>
      <w:r>
        <w:rPr>
          <w:rFonts w:ascii="Arial" w:cs="Arial" w:eastAsia="Arial" w:hAnsi="Arial"/>
          <w:b/>
          <w:bCs/>
          <w:sz w:val="21"/>
          <w:szCs w:val="21"/>
        </w:rPr>
        <w:t xml:space="preserve">The US</w:t>
      </w:r>
      <w:r>
        <w:rPr>
          <w:rFonts w:ascii="Arial" w:cs="Arial" w:eastAsia="Arial" w:hAnsi="Arial"/>
          <w:sz w:val="21"/>
          <w:szCs w:val="21"/>
        </w:rPr>
        <w:t xml:space="preserve"> is the scale market: many more insurers, higher prices (our working assumption is 5–10 times India, to be tested), and AI already widespread in claims. We will size it bottom-up from insurer counts and pilot pricing before committing.</w:t>
      </w:r>
    </w:p>
    <w:p>
      <w:pPr>
        <w:spacing w:after="140" w:line="288"/>
      </w:pPr>
      <w:r>
        <w:rPr>
          <w:rFonts w:ascii="Arial" w:cs="Arial" w:eastAsia="Arial" w:hAnsi="Arial"/>
          <w:b/>
          <w:bCs/>
          <w:sz w:val="21"/>
          <w:szCs w:val="21"/>
        </w:rPr>
        <w:t xml:space="preserve">Scope today:</w:t>
      </w:r>
      <w:r>
        <w:rPr>
          <w:rFonts w:ascii="Arial" w:cs="Arial" w:eastAsia="Arial" w:hAnsi="Arial"/>
          <w:sz w:val="21"/>
          <w:szCs w:val="21"/>
        </w:rPr>
        <w:t xml:space="preserve"> claim decisions where AI is involved, in health, motor and home insurance. </w:t>
      </w:r>
      <w:r>
        <w:rPr>
          <w:rFonts w:ascii="Arial" w:cs="Arial" w:eastAsia="Arial" w:hAnsi="Arial"/>
          <w:b/>
          <w:bCs/>
          <w:sz w:val="21"/>
          <w:szCs w:val="21"/>
        </w:rPr>
        <w:t xml:space="preserve">Later:</w:t>
      </w:r>
      <w:r>
        <w:rPr>
          <w:rFonts w:ascii="Arial" w:cs="Arial" w:eastAsia="Arial" w:hAnsi="Arial"/>
          <w:sz w:val="21"/>
          <w:szCs w:val="21"/>
        </w:rPr>
        <w:t xml:space="preserve"> more US states, more EU member states, other lines of insurance, and other AI decisions with similar rules (such as underwriting).</w:t>
      </w:r>
    </w:p>
    <w:p>
      <w:pPr>
        <w:pStyle w:val="Heading1"/>
        <w:spacing w:after="140" w:before="320"/>
      </w:pPr>
      <w:r>
        <w:rPr>
          <w:rFonts w:ascii="Arial" w:cs="Arial" w:eastAsia="Arial" w:hAnsi="Arial"/>
        </w:rPr>
        <w:t xml:space="preserve">8. How it makes money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2"/>
        <w:gridCol w:w="4165"/>
        <w:gridCol w:w="1388"/>
        <w:gridCol w:w="1391"/>
      </w:tblGrid>
      <w:tr>
        <w:trPr>
          <w:tblHeader/>
        </w:trPr>
        <w:tc>
          <w:tcPr>
            <w:tcW w:type="dxa" w:w="2082"/>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Offer</w:t>
            </w:r>
          </w:p>
        </w:tc>
        <w:tc>
          <w:tcPr>
            <w:tcW w:type="dxa" w:w="4165"/>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What the insurer gets</w:t>
            </w:r>
          </w:p>
        </w:tc>
        <w:tc>
          <w:tcPr>
            <w:tcW w:type="dxa" w:w="1388"/>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India price</w:t>
            </w:r>
          </w:p>
        </w:tc>
        <w:tc>
          <w:tcPr>
            <w:tcW w:type="dxa" w:w="1391"/>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US price</w:t>
            </w:r>
          </w:p>
        </w:tc>
      </w:tr>
      <w:tr>
        <w:tc>
          <w:tcPr>
            <w:tcW w:type="dxa" w:w="20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Readiness assessment</w:t>
            </w:r>
          </w:p>
        </w:tc>
        <w:tc>
          <w:tcPr>
            <w:tcW w:type="dxa" w:w="416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3–4 weeks: where AI is used in claims and a gap report against the rules.</w:t>
            </w:r>
          </w:p>
        </w:tc>
        <w:tc>
          <w:tcPr>
            <w:tcW w:type="dxa" w:w="1388"/>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₹5–10 lakh</w:t>
            </w:r>
          </w:p>
        </w:tc>
        <w:tc>
          <w:tcPr>
            <w:tcW w:type="dxa" w:w="139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[to be set]</w:t>
            </w:r>
          </w:p>
        </w:tc>
      </w:tr>
      <w:tr>
        <w:tc>
          <w:tcPr>
            <w:tcW w:type="dxa" w:w="20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Shadow pilot</w:t>
            </w:r>
          </w:p>
        </w:tc>
        <w:tc>
          <w:tcPr>
            <w:tcW w:type="dxa" w:w="416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60 days: replay of past decisions on de-identified data; credited to year one.</w:t>
            </w:r>
          </w:p>
        </w:tc>
        <w:tc>
          <w:tcPr>
            <w:tcW w:type="dxa" w:w="1388"/>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₹3–5 lakh</w:t>
            </w:r>
          </w:p>
        </w:tc>
        <w:tc>
          <w:tcPr>
            <w:tcW w:type="dxa" w:w="139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[to be set]</w:t>
            </w:r>
          </w:p>
        </w:tc>
      </w:tr>
      <w:tr>
        <w:tc>
          <w:tcPr>
            <w:tcW w:type="dxa" w:w="20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Annual subscription</w:t>
            </w:r>
          </w:p>
        </w:tc>
        <w:tc>
          <w:tcPr>
            <w:tcW w:type="dxa" w:w="416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Valifides running on live decisions, with rule updates, priced by decision volume.</w:t>
            </w:r>
          </w:p>
        </w:tc>
        <w:tc>
          <w:tcPr>
            <w:tcW w:type="dxa" w:w="1388"/>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₹15–60 lakh a year</w:t>
            </w:r>
          </w:p>
        </w:tc>
        <w:tc>
          <w:tcPr>
            <w:tcW w:type="dxa" w:w="139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[to be set]</w:t>
            </w:r>
          </w:p>
        </w:tc>
      </w:tr>
    </w:tbl>
    <w:p>
      <w:pPr>
        <w:spacing w:after="120"/>
      </w:pPr>
    </w:p>
    <w:p>
      <w:pPr>
        <w:spacing w:after="140" w:line="288"/>
      </w:pPr>
      <w:r>
        <w:rPr>
          <w:rFonts w:ascii="Arial" w:cs="Arial" w:eastAsia="Arial" w:hAnsi="Arial"/>
          <w:sz w:val="21"/>
          <w:szCs w:val="21"/>
        </w:rPr>
        <w:t xml:space="preserve">All prices are hypotheses to be tested in the first conversations. The lasting value, and the moat, is </w:t>
      </w:r>
      <w:r>
        <w:rPr>
          <w:rFonts w:ascii="Arial" w:cs="Arial" w:eastAsia="Arial" w:hAnsi="Arial"/>
          <w:b/>
          <w:bCs/>
          <w:sz w:val="21"/>
          <w:szCs w:val="21"/>
        </w:rPr>
        <w:t xml:space="preserve">rule content</w:t>
      </w:r>
      <w:r>
        <w:rPr>
          <w:rFonts w:ascii="Arial" w:cs="Arial" w:eastAsia="Arial" w:hAnsi="Arial"/>
          <w:sz w:val="21"/>
          <w:szCs w:val="21"/>
        </w:rPr>
        <w:t xml:space="preserve"> that stays current and is reviewed by counsel in each country. The software engine itself could be copied; trusted, maintained rules across several countries are much harder to copy.</w:t>
      </w:r>
    </w:p>
    <w:p>
      <w:pPr>
        <w:pStyle w:val="Heading1"/>
        <w:spacing w:after="140" w:before="320"/>
      </w:pPr>
      <w:r>
        <w:rPr>
          <w:rFonts w:ascii="Arial" w:cs="Arial" w:eastAsia="Arial" w:hAnsi="Arial"/>
        </w:rPr>
        <w:t xml:space="preserve">9. Competition</w:t>
      </w:r>
    </w:p>
    <w:p>
      <w:pPr>
        <w:spacing w:after="140" w:line="288"/>
      </w:pPr>
      <w:r>
        <w:rPr>
          <w:rFonts w:ascii="Arial" w:cs="Arial" w:eastAsia="Arial" w:hAnsi="Arial"/>
          <w:sz w:val="21"/>
          <w:szCs w:val="21"/>
        </w:rPr>
        <w:t xml:space="preserve">Several companies work on AI governance. Some insurance-focused US companies (such as Swept.ai and Monitaur) supervise models or keep governance records. Large platforms (such as Credo AI, IBM and OneTrust) cover AI governance broadly, including the EU AI Act. Bias-testing tools (such as FairPlay) test models. Agent guardrail tools can pause automated actions but know nothing about insurance law.</w:t>
      </w:r>
    </w:p>
    <w:p>
      <w:pPr>
        <w:spacing w:after="140" w:line="288"/>
      </w:pPr>
      <w:r>
        <w:rPr>
          <w:rFonts w:ascii="Arial" w:cs="Arial" w:eastAsia="Arial" w:hAnsi="Arial"/>
          <w:sz w:val="21"/>
          <w:szCs w:val="21"/>
        </w:rPr>
        <w:t xml:space="preserve">From public information, none of them combines a </w:t>
      </w:r>
      <w:r>
        <w:rPr>
          <w:rFonts w:ascii="Arial" w:cs="Arial" w:eastAsia="Arial" w:hAnsi="Arial"/>
          <w:b/>
          <w:bCs/>
          <w:sz w:val="21"/>
          <w:szCs w:val="21"/>
        </w:rPr>
        <w:t xml:space="preserve">check before each decision</w:t>
      </w:r>
      <w:r>
        <w:rPr>
          <w:rFonts w:ascii="Arial" w:cs="Arial" w:eastAsia="Arial" w:hAnsi="Arial"/>
          <w:sz w:val="21"/>
          <w:szCs w:val="21"/>
        </w:rPr>
        <w:t xml:space="preserve">, </w:t>
      </w:r>
      <w:r>
        <w:rPr>
          <w:rFonts w:ascii="Arial" w:cs="Arial" w:eastAsia="Arial" w:hAnsi="Arial"/>
          <w:b/>
          <w:bCs/>
          <w:sz w:val="21"/>
          <w:szCs w:val="21"/>
        </w:rPr>
        <w:t xml:space="preserve">claim rules for several countries</w:t>
      </w:r>
      <w:r>
        <w:rPr>
          <w:rFonts w:ascii="Arial" w:cs="Arial" w:eastAsia="Arial" w:hAnsi="Arial"/>
          <w:sz w:val="21"/>
          <w:szCs w:val="21"/>
        </w:rPr>
        <w:t xml:space="preserve">, and </w:t>
      </w:r>
      <w:r>
        <w:rPr>
          <w:rFonts w:ascii="Arial" w:cs="Arial" w:eastAsia="Arial" w:hAnsi="Arial"/>
          <w:b/>
          <w:bCs/>
          <w:sz w:val="21"/>
          <w:szCs w:val="21"/>
        </w:rPr>
        <w:t xml:space="preserve">tamper-evident evidence for each decision</w:t>
      </w:r>
      <w:r>
        <w:rPr>
          <w:rFonts w:ascii="Arial" w:cs="Arial" w:eastAsia="Arial" w:hAnsi="Arial"/>
          <w:sz w:val="21"/>
          <w:szCs w:val="21"/>
        </w:rPr>
        <w:t xml:space="preserve">. That is Valifides’ position. This is based on public materials and will be verified in product demos.</w:t>
      </w:r>
    </w:p>
    <w:p>
      <w:pPr>
        <w:pStyle w:val="Heading1"/>
        <w:spacing w:after="140" w:before="320"/>
      </w:pPr>
      <w:r>
        <w:rPr>
          <w:rFonts w:ascii="Arial" w:cs="Arial" w:eastAsia="Arial" w:hAnsi="Arial"/>
        </w:rPr>
        <w:t xml:space="preserve">10. Go-to-market</w:t>
      </w:r>
    </w:p>
    <w:p>
      <w:pPr>
        <w:pStyle w:val="ListParagraph"/>
        <w:numPr>
          <w:ilvl w:val="0"/>
          <w:numId w:val="3"/>
        </w:numPr>
        <w:spacing w:after="80" w:line="276"/>
      </w:pPr>
      <w:r>
        <w:rPr>
          <w:rFonts w:ascii="Arial" w:cs="Arial" w:eastAsia="Arial" w:hAnsi="Arial"/>
          <w:b/>
          <w:bCs/>
          <w:sz w:val="21"/>
          <w:szCs w:val="21"/>
        </w:rPr>
        <w:t xml:space="preserve">India, led by the founder:</w:t>
      </w:r>
      <w:r>
        <w:rPr>
          <w:rFonts w:ascii="Arial" w:cs="Arial" w:eastAsia="Arial" w:hAnsi="Arial"/>
          <w:sz w:val="21"/>
          <w:szCs w:val="21"/>
        </w:rPr>
        <w:t xml:space="preserve"> digital-first insurers, standalone health insurers and third-party administrators (TPAs) that already use AI. Entry through an assessment or a shadow pilot.</w:t>
      </w:r>
    </w:p>
    <w:p>
      <w:pPr>
        <w:pStyle w:val="ListParagraph"/>
        <w:numPr>
          <w:ilvl w:val="0"/>
          <w:numId w:val="3"/>
        </w:numPr>
        <w:spacing w:after="80" w:line="276"/>
      </w:pPr>
      <w:r>
        <w:rPr>
          <w:rFonts w:ascii="Arial" w:cs="Arial" w:eastAsia="Arial" w:hAnsi="Arial"/>
          <w:b/>
          <w:bCs/>
          <w:sz w:val="21"/>
          <w:szCs w:val="21"/>
        </w:rPr>
        <w:t xml:space="preserve">United States, led by a US-based partner (in discussion):</w:t>
      </w:r>
      <w:r>
        <w:rPr>
          <w:rFonts w:ascii="Arial" w:cs="Arial" w:eastAsia="Arial" w:hAnsi="Arial"/>
          <w:sz w:val="21"/>
          <w:szCs w:val="21"/>
        </w:rPr>
        <w:t xml:space="preserve"> regional property and casualty insurers and managing general agents (MGAs) in California, Texas and Florida, plus claims-AI vendors.</w:t>
      </w:r>
    </w:p>
    <w:p>
      <w:pPr>
        <w:pStyle w:val="ListParagraph"/>
        <w:numPr>
          <w:ilvl w:val="0"/>
          <w:numId w:val="3"/>
        </w:numPr>
        <w:spacing w:after="80" w:line="276"/>
      </w:pPr>
      <w:r>
        <w:rPr>
          <w:rFonts w:ascii="Arial" w:cs="Arial" w:eastAsia="Arial" w:hAnsi="Arial"/>
          <w:b/>
          <w:bCs/>
          <w:sz w:val="21"/>
          <w:szCs w:val="21"/>
        </w:rPr>
        <w:t xml:space="preserve">UK and EU, later:</w:t>
      </w:r>
      <w:r>
        <w:rPr>
          <w:rFonts w:ascii="Arial" w:cs="Arial" w:eastAsia="Arial" w:hAnsi="Arial"/>
          <w:sz w:val="21"/>
          <w:szCs w:val="21"/>
        </w:rPr>
        <w:t xml:space="preserve"> through claims-AI vendors and consultancies that want a ready-made rule pack.</w:t>
      </w:r>
    </w:p>
    <w:p>
      <w:pPr>
        <w:pStyle w:val="Heading1"/>
        <w:spacing w:after="140" w:before="320"/>
      </w:pPr>
      <w:r>
        <w:rPr>
          <w:rFonts w:ascii="Arial" w:cs="Arial" w:eastAsia="Arial" w:hAnsi="Arial"/>
        </w:rPr>
        <w:t xml:space="preserve">11. Team</w:t>
      </w:r>
    </w:p>
    <w:p>
      <w:pPr>
        <w:spacing w:after="140" w:line="288"/>
      </w:pPr>
      <w:r>
        <w:rPr>
          <w:rFonts w:ascii="Arial" w:cs="Arial" w:eastAsia="Arial" w:hAnsi="Arial"/>
          <w:b/>
          <w:bCs/>
          <w:sz w:val="21"/>
          <w:szCs w:val="21"/>
        </w:rPr>
        <w:t xml:space="preserve">Swathi Chirravuri, founder.</w:t>
      </w:r>
      <w:r>
        <w:rPr>
          <w:rFonts w:ascii="Arial" w:cs="Arial" w:eastAsia="Arial" w:hAnsi="Arial"/>
          <w:sz w:val="21"/>
          <w:szCs w:val="21"/>
        </w:rPr>
        <w:t xml:space="preserve"> AI product manager in Hyderabad; AIGP-certified (AI governance), PSPO, Executive MBA in Digital Business. Original research with 107 surveys and 10 expert interviews on trust in AI-driven services. Built the product and all four rule packs.</w:t>
      </w:r>
    </w:p>
    <w:p>
      <w:pPr>
        <w:spacing w:after="140" w:line="288"/>
      </w:pPr>
      <w:r>
        <w:rPr>
          <w:rFonts w:ascii="Arial" w:cs="Arial" w:eastAsia="Arial" w:hAnsi="Arial"/>
          <w:b/>
          <w:bCs/>
          <w:sz w:val="21"/>
          <w:szCs w:val="21"/>
        </w:rPr>
        <w:t xml:space="preserve">Being added:</w:t>
      </w:r>
      <w:r>
        <w:rPr>
          <w:rFonts w:ascii="Arial" w:cs="Arial" w:eastAsia="Arial" w:hAnsi="Arial"/>
          <w:sz w:val="21"/>
          <w:szCs w:val="21"/>
        </w:rPr>
        <w:t xml:space="preserve"> a US market lead (US-based product leader, 20+ years, fintech; in discussion), a claims advisor in each market, and insurance counsel in each market.</w:t>
      </w:r>
    </w:p>
    <w:p>
      <w:pPr>
        <w:pStyle w:val="Heading1"/>
        <w:spacing w:after="140" w:before="320"/>
      </w:pPr>
      <w:r>
        <w:rPr>
          <w:rFonts w:ascii="Arial" w:cs="Arial" w:eastAsia="Arial" w:hAnsi="Arial"/>
        </w:rPr>
        <w:t xml:space="preserve">12. The raise</w:t>
      </w:r>
    </w:p>
    <w:p>
      <w:pPr>
        <w:spacing w:after="140" w:line="288"/>
      </w:pPr>
      <w:r>
        <w:rPr>
          <w:rFonts w:ascii="Arial" w:cs="Arial" w:eastAsia="Arial" w:hAnsi="Arial"/>
          <w:sz w:val="21"/>
          <w:szCs w:val="21"/>
        </w:rPr>
        <w:t xml:space="preserve">A pre-seed round of </w:t>
      </w:r>
      <w:r>
        <w:rPr>
          <w:rFonts w:ascii="Arial" w:cs="Arial" w:eastAsia="Arial" w:hAnsi="Arial"/>
          <w:b/>
          <w:bCs/>
          <w:sz w:val="21"/>
          <w:szCs w:val="21"/>
        </w:rPr>
        <w:t xml:space="preserve">[amount to be set]</w:t>
      </w:r>
      <w:r>
        <w:rPr>
          <w:rFonts w:ascii="Arial" w:cs="Arial" w:eastAsia="Arial" w:hAnsi="Arial"/>
          <w:sz w:val="21"/>
          <w:szCs w:val="21"/>
        </w:rPr>
        <w:t xml:space="preserve">, opened after the six-week validation test so that investors back proven demand rather than only a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6017"/>
        <w:gridCol w:w="1004"/>
      </w:tblGrid>
      <w:tr>
        <w:trPr>
          <w:tblHeader/>
        </w:trPr>
        <w:tc>
          <w:tcPr>
            <w:tcW w:type="dxa" w:w="2005"/>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Use of funds</w:t>
            </w:r>
          </w:p>
        </w:tc>
        <w:tc>
          <w:tcPr>
            <w:tcW w:type="dxa" w:w="6017"/>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What it pays for</w:t>
            </w:r>
          </w:p>
        </w:tc>
        <w:tc>
          <w:tcPr>
            <w:tcW w:type="dxa" w:w="1004"/>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Share</w:t>
            </w:r>
          </w:p>
        </w:tc>
      </w:tr>
      <w:tr>
        <w:tc>
          <w:tcPr>
            <w:tcW w:type="dxa" w:w="200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Rule content</w:t>
            </w:r>
          </w:p>
        </w:tc>
        <w:tc>
          <w:tcPr>
            <w:tcW w:type="dxa" w:w="601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Legal review of the India and US rule packs; claims advisors.</w:t>
            </w:r>
          </w:p>
        </w:tc>
        <w:tc>
          <w:tcPr>
            <w:tcW w:type="dxa" w:w="100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[__]%</w:t>
            </w:r>
          </w:p>
        </w:tc>
      </w:tr>
      <w:tr>
        <w:tc>
          <w:tcPr>
            <w:tcW w:type="dxa" w:w="200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Product</w:t>
            </w:r>
          </w:p>
        </w:tc>
        <w:tc>
          <w:tcPr>
            <w:tcW w:type="dxa" w:w="601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 founding engineer; running inside an insurer’s own cloud with logins and storage.</w:t>
            </w:r>
          </w:p>
        </w:tc>
        <w:tc>
          <w:tcPr>
            <w:tcW w:type="dxa" w:w="100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[__]%</w:t>
            </w:r>
          </w:p>
        </w:tc>
      </w:tr>
      <w:tr>
        <w:tc>
          <w:tcPr>
            <w:tcW w:type="dxa" w:w="200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Security</w:t>
            </w:r>
          </w:p>
        </w:tc>
        <w:tc>
          <w:tcPr>
            <w:tcW w:type="dxa" w:w="601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SOC 2 readiness and a penetration test, which US buyers require.</w:t>
            </w:r>
          </w:p>
        </w:tc>
        <w:tc>
          <w:tcPr>
            <w:tcW w:type="dxa" w:w="100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[__]%</w:t>
            </w:r>
          </w:p>
        </w:tc>
      </w:tr>
      <w:tr>
        <w:tc>
          <w:tcPr>
            <w:tcW w:type="dxa" w:w="200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Go-to-market</w:t>
            </w:r>
          </w:p>
        </w:tc>
        <w:tc>
          <w:tcPr>
            <w:tcW w:type="dxa" w:w="6017"/>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The US market lead and pilots in India and the US.</w:t>
            </w:r>
          </w:p>
        </w:tc>
        <w:tc>
          <w:tcPr>
            <w:tcW w:type="dxa" w:w="100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[__]%</w:t>
            </w:r>
          </w:p>
        </w:tc>
      </w:tr>
    </w:tbl>
    <w:p>
      <w:pPr>
        <w:spacing w:after="120"/>
      </w:pPr>
    </w:p>
    <w:p>
      <w:pPr>
        <w:spacing w:after="140" w:line="288"/>
      </w:pPr>
      <w:r>
        <w:rPr>
          <w:rFonts w:ascii="Arial" w:cs="Arial" w:eastAsia="Arial" w:hAnsi="Arial"/>
          <w:b/>
          <w:bCs/>
          <w:sz w:val="21"/>
          <w:szCs w:val="21"/>
        </w:rPr>
        <w:t xml:space="preserve">Target milestones in 12–18 months:</w:t>
      </w:r>
      <w:r>
        <w:rPr>
          <w:rFonts w:ascii="Arial" w:cs="Arial" w:eastAsia="Arial" w:hAnsi="Arial"/>
          <w:sz w:val="21"/>
          <w:szCs w:val="21"/>
        </w:rPr>
        <w:t xml:space="preserve"> three paid pilots in India, one or two shadow pilots in the US, the first annual subscription, and counsel-reviewed rule packs in both markets.</w:t>
      </w:r>
    </w:p>
    <w:p>
      <w:pPr>
        <w:pStyle w:val="Heading1"/>
        <w:spacing w:after="140" w:before="320"/>
      </w:pPr>
      <w:r>
        <w:rPr>
          <w:rFonts w:ascii="Arial" w:cs="Arial" w:eastAsia="Arial" w:hAnsi="Arial"/>
        </w:rPr>
        <w:t xml:space="preserve">13. Risks, and what we do about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82"/>
        <w:gridCol w:w="5744"/>
      </w:tblGrid>
      <w:tr>
        <w:trPr>
          <w:tblHeader/>
        </w:trPr>
        <w:tc>
          <w:tcPr>
            <w:tcW w:type="dxa" w:w="3282"/>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Risk</w:t>
            </w:r>
          </w:p>
        </w:tc>
        <w:tc>
          <w:tcPr>
            <w:tcW w:type="dxa" w:w="5744"/>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What we do</w:t>
            </w:r>
          </w:p>
        </w:tc>
      </w:tr>
      <w:tr>
        <w:tc>
          <w:tcPr>
            <w:tcW w:type="dxa" w:w="32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Insurers do not buy before regulators make it mandatory.</w:t>
            </w:r>
          </w:p>
        </w:tc>
        <w:tc>
          <w:tcPr>
            <w:tcW w:type="dxa" w:w="574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Lead with rules already in force (deadlines, denial letters, data protection) and with shadow mode, which costs them nothing operationally.</w:t>
            </w:r>
          </w:p>
        </w:tc>
      </w:tr>
      <w:tr>
        <w:tc>
          <w:tcPr>
            <w:tcW w:type="dxa" w:w="32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 rule is legally wrong.</w:t>
            </w:r>
          </w:p>
        </w:tc>
        <w:tc>
          <w:tcPr>
            <w:tcW w:type="dxa" w:w="574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Every rule names its source and status; counsel review before any pilot; insurers can switch rules off.</w:t>
            </w:r>
          </w:p>
        </w:tc>
      </w:tr>
      <w:tr>
        <w:tc>
          <w:tcPr>
            <w:tcW w:type="dxa" w:w="32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India is too small.</w:t>
            </w:r>
          </w:p>
        </w:tc>
        <w:tc>
          <w:tcPr>
            <w:tcW w:type="dxa" w:w="574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India is the reference market; the US is the scale market, using the same engine.</w:t>
            </w:r>
          </w:p>
        </w:tc>
      </w:tr>
      <w:tr>
        <w:tc>
          <w:tcPr>
            <w:tcW w:type="dxa" w:w="32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 larger competitor adds pre-decision checks.</w:t>
            </w:r>
          </w:p>
        </w:tc>
        <w:tc>
          <w:tcPr>
            <w:tcW w:type="dxa" w:w="574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Move fast on rule content and local relationships, which are slower to copy than software.</w:t>
            </w:r>
          </w:p>
        </w:tc>
      </w:tr>
      <w:tr>
        <w:tc>
          <w:tcPr>
            <w:tcW w:type="dxa" w:w="32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Security and data concerns block a sale.</w:t>
            </w:r>
          </w:p>
        </w:tc>
        <w:tc>
          <w:tcPr>
            <w:tcW w:type="dxa" w:w="574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Run inside the insurer’s own cloud; work on de-identified data in pilots; pursue SOC 2.</w:t>
            </w:r>
          </w:p>
        </w:tc>
      </w:tr>
      <w:tr>
        <w:tc>
          <w:tcPr>
            <w:tcW w:type="dxa" w:w="32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Founder bandwidth across markets.</w:t>
            </w:r>
          </w:p>
        </w:tc>
        <w:tc>
          <w:tcPr>
            <w:tcW w:type="dxa" w:w="574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Sell in one market at a time; a local lead for the US; partners for the UK and EU.</w:t>
            </w:r>
          </w:p>
        </w:tc>
      </w:tr>
    </w:tbl>
    <w:p>
      <w:pPr>
        <w:spacing w:after="120"/>
      </w:pPr>
    </w:p>
    <w:p>
      <w:pPr>
        <w:pStyle w:val="Heading1"/>
        <w:spacing w:after="140" w:before="320"/>
      </w:pPr>
      <w:r>
        <w:rPr>
          <w:rFonts w:ascii="Arial" w:cs="Arial" w:eastAsia="Arial" w:hAnsi="Arial"/>
        </w:rPr>
        <w:t xml:space="preserve">14. Tough questions and honest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82"/>
        <w:gridCol w:w="5744"/>
      </w:tblGrid>
      <w:tr>
        <w:trPr>
          <w:tblHeader/>
        </w:trPr>
        <w:tc>
          <w:tcPr>
            <w:tcW w:type="dxa" w:w="3282"/>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Question</w:t>
            </w:r>
          </w:p>
        </w:tc>
        <w:tc>
          <w:tcPr>
            <w:tcW w:type="dxa" w:w="5744"/>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Answer</w:t>
            </w:r>
          </w:p>
        </w:tc>
      </w:tr>
      <w:tr>
        <w:tc>
          <w:tcPr>
            <w:tcW w:type="dxa" w:w="32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Why would an insurer pay before AI rules become mandatory?</w:t>
            </w:r>
          </w:p>
        </w:tc>
        <w:tc>
          <w:tcPr>
            <w:tcW w:type="dxa" w:w="574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Many rules Valifides checks are already law: claim deadlines, what a denial must say, data protection, and discrimination rules. The pilot shows the insurer its real exposure in its own past decisions.</w:t>
            </w:r>
          </w:p>
        </w:tc>
      </w:tr>
      <w:tr>
        <w:tc>
          <w:tcPr>
            <w:tcW w:type="dxa" w:w="32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Can’t insurers build this themselves?</w:t>
            </w:r>
          </w:p>
        </w:tc>
        <w:tc>
          <w:tcPr>
            <w:tcW w:type="dxa" w:w="574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They can build an engine. Keeping rules accurate across regulators and countries, reviewed by lawyers and versioned, is ongoing work they would rather buy. That is the subscription.</w:t>
            </w:r>
          </w:p>
        </w:tc>
      </w:tr>
      <w:tr>
        <w:tc>
          <w:tcPr>
            <w:tcW w:type="dxa" w:w="32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Do you use AI to make the verdict?</w:t>
            </w:r>
          </w:p>
        </w:tc>
        <w:tc>
          <w:tcPr>
            <w:tcW w:type="dxa" w:w="574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No. Verdicts come from fixed rules so they are predictable and explainable. AI may help us draft rules later; a person and counsel approve them.</w:t>
            </w:r>
          </w:p>
        </w:tc>
      </w:tr>
      <w:tr>
        <w:tc>
          <w:tcPr>
            <w:tcW w:type="dxa" w:w="32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Does it slow down claims?</w:t>
            </w:r>
          </w:p>
        </w:tc>
        <w:tc>
          <w:tcPr>
            <w:tcW w:type="dxa" w:w="574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 check takes a few thousandths of a millisecond. In shadow mode it is not in the live flow at all.</w:t>
            </w:r>
          </w:p>
        </w:tc>
      </w:tr>
      <w:tr>
        <w:tc>
          <w:tcPr>
            <w:tcW w:type="dxa" w:w="32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What data do you need?</w:t>
            </w:r>
          </w:p>
        </w:tc>
        <w:tc>
          <w:tcPr>
            <w:tcW w:type="dxa" w:w="574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For a pilot, a de-identified export of decisions with no names or policy numbers. In production, Valifides runs in the insurer’s own environment.</w:t>
            </w:r>
          </w:p>
        </w:tc>
      </w:tr>
      <w:tr>
        <w:tc>
          <w:tcPr>
            <w:tcW w:type="dxa" w:w="32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Why four markets so early?</w:t>
            </w:r>
          </w:p>
        </w:tc>
        <w:tc>
          <w:tcPr>
            <w:tcW w:type="dxa" w:w="574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To prove that a new country is a rule pack, not a new product. We sell in India first and the US next; the UK and EU are demos until then.</w:t>
            </w:r>
          </w:p>
        </w:tc>
      </w:tr>
      <w:tr>
        <w:tc>
          <w:tcPr>
            <w:tcW w:type="dxa" w:w="32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How big can this get?</w:t>
            </w:r>
          </w:p>
        </w:tc>
        <w:tc>
          <w:tcPr>
            <w:tcW w:type="dxa" w:w="574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India alone is about ₹10–30 crore a year. The size of the opportunity comes from the US and later Europe, with the same product. We will publish a bottom-up US estimate before entering.</w:t>
            </w:r>
          </w:p>
        </w:tc>
      </w:tr>
      <w:tr>
        <w:tc>
          <w:tcPr>
            <w:tcW w:type="dxa" w:w="32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What do you have today?</w:t>
            </w:r>
          </w:p>
        </w:tc>
        <w:tc>
          <w:tcPr>
            <w:tcW w:type="dxa" w:w="574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 working product on synthetic data, four draft rule packs and the plans to sell. No customers yet; a six-week test decides whether we proceed.</w:t>
            </w:r>
          </w:p>
        </w:tc>
      </w:tr>
      <w:tr>
        <w:tc>
          <w:tcPr>
            <w:tcW w:type="dxa" w:w="32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Why you?</w:t>
            </w:r>
          </w:p>
        </w:tc>
        <w:tc>
          <w:tcPr>
            <w:tcW w:type="dxa" w:w="574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 combine AI governance certification, product management and hands-on building, and I am recruiting the claims and legal depth I lack.</w:t>
            </w:r>
          </w:p>
        </w:tc>
      </w:tr>
    </w:tbl>
    <w:p>
      <w:pPr>
        <w:spacing w:after="120"/>
      </w:pPr>
    </w:p>
    <w:p>
      <w:pPr>
        <w:pStyle w:val="Heading1"/>
        <w:spacing w:after="140" w:before="320"/>
      </w:pPr>
      <w:r>
        <w:rPr>
          <w:rFonts w:ascii="Arial" w:cs="Arial" w:eastAsia="Arial" w:hAnsi="Arial"/>
        </w:rPr>
        <w:t xml:space="preserve">15.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1"/>
        <w:gridCol w:w="6565"/>
      </w:tblGrid>
      <w:tr>
        <w:trPr>
          <w:tblHeader/>
        </w:trPr>
        <w:tc>
          <w:tcPr>
            <w:tcW w:type="dxa" w:w="2461"/>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Term</w:t>
            </w:r>
          </w:p>
        </w:tc>
        <w:tc>
          <w:tcPr>
            <w:tcW w:type="dxa" w:w="6565"/>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Meaning</w:t>
            </w:r>
          </w:p>
        </w:tc>
      </w:tr>
      <w:tr>
        <w:tc>
          <w:tcPr>
            <w:tcW w:type="dxa" w:w="246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Claim</w:t>
            </w:r>
          </w:p>
        </w:tc>
        <w:tc>
          <w:tcPr>
            <w:tcW w:type="dxa" w:w="656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 policyholder’s request for the insurer to pay for a loss.</w:t>
            </w:r>
          </w:p>
        </w:tc>
      </w:tr>
      <w:tr>
        <w:tc>
          <w:tcPr>
            <w:tcW w:type="dxa" w:w="246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Repudiation / denial / decline / refusal</w:t>
            </w:r>
          </w:p>
        </w:tc>
        <w:tc>
          <w:tcPr>
            <w:tcW w:type="dxa" w:w="656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Different countries’ words for the insurer saying no to a claim.</w:t>
            </w:r>
          </w:p>
        </w:tc>
      </w:tr>
      <w:tr>
        <w:tc>
          <w:tcPr>
            <w:tcW w:type="dxa" w:w="246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TPA</w:t>
            </w:r>
          </w:p>
        </w:tc>
        <w:tc>
          <w:tcPr>
            <w:tcW w:type="dxa" w:w="656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Third-party administrator: a company that processes claims for insurers, common in Indian health insurance.</w:t>
            </w:r>
          </w:p>
        </w:tc>
      </w:tr>
      <w:tr>
        <w:tc>
          <w:tcPr>
            <w:tcW w:type="dxa" w:w="246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MGA</w:t>
            </w:r>
          </w:p>
        </w:tc>
        <w:tc>
          <w:tcPr>
            <w:tcW w:type="dxa" w:w="656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Managing general agent: a US firm that underwrites and often handles claims on behalf of insurers.</w:t>
            </w:r>
          </w:p>
        </w:tc>
      </w:tr>
      <w:tr>
        <w:tc>
          <w:tcPr>
            <w:tcW w:type="dxa" w:w="246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IRDAI, NAIC, FCA, EIOPA</w:t>
            </w:r>
          </w:p>
        </w:tc>
        <w:tc>
          <w:tcPr>
            <w:tcW w:type="dxa" w:w="656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The insurance regulators or standard-setters for India, the US states, the UK and the EU.</w:t>
            </w:r>
          </w:p>
        </w:tc>
      </w:tr>
      <w:tr>
        <w:tc>
          <w:tcPr>
            <w:tcW w:type="dxa" w:w="246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Middleware</w:t>
            </w:r>
          </w:p>
        </w:tc>
        <w:tc>
          <w:tcPr>
            <w:tcW w:type="dxa" w:w="656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Software that sits between two systems and checks or passes on what flows between them.</w:t>
            </w:r>
          </w:p>
        </w:tc>
      </w:tr>
      <w:tr>
        <w:tc>
          <w:tcPr>
            <w:tcW w:type="dxa" w:w="246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Rule pack</w:t>
            </w:r>
          </w:p>
        </w:tc>
        <w:tc>
          <w:tcPr>
            <w:tcW w:type="dxa" w:w="656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The set of rules Valifides applies in one market.</w:t>
            </w:r>
          </w:p>
        </w:tc>
      </w:tr>
      <w:tr>
        <w:tc>
          <w:tcPr>
            <w:tcW w:type="dxa" w:w="246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Shadow mode</w:t>
            </w:r>
          </w:p>
        </w:tc>
        <w:tc>
          <w:tcPr>
            <w:tcW w:type="dxa" w:w="656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Valifides watches decisions and records what it would have done, without changing anything.</w:t>
            </w:r>
          </w:p>
        </w:tc>
      </w:tr>
      <w:tr>
        <w:tc>
          <w:tcPr>
            <w:tcW w:type="dxa" w:w="246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SHA-256 hash</w:t>
            </w:r>
          </w:p>
        </w:tc>
        <w:tc>
          <w:tcPr>
            <w:tcW w:type="dxa" w:w="656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 digital fingerprint of a record; any change to the record changes the fingerprint.</w:t>
            </w:r>
          </w:p>
        </w:tc>
      </w:tr>
      <w:tr>
        <w:tc>
          <w:tcPr>
            <w:tcW w:type="dxa" w:w="246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SOC 2</w:t>
            </w:r>
          </w:p>
        </w:tc>
        <w:tc>
          <w:tcPr>
            <w:tcW w:type="dxa" w:w="656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 security audit standard that most US enterprise buyers require from software vendors.</w:t>
            </w:r>
          </w:p>
        </w:tc>
      </w:tr>
      <w:tr>
        <w:tc>
          <w:tcPr>
            <w:tcW w:type="dxa" w:w="2461"/>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Pre-seed</w:t>
            </w:r>
          </w:p>
        </w:tc>
        <w:tc>
          <w:tcPr>
            <w:tcW w:type="dxa" w:w="6565"/>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The earliest investment round, usually before significant revenue.</w:t>
            </w:r>
          </w:p>
        </w:tc>
      </w:tr>
    </w:tbl>
    <w:p>
      <w:pPr>
        <w:spacing w:after="12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Valifides, Explained Simply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1F2937"/>
      <w:sz w:val="44"/>
      <w:szCs w:val="44"/>
    </w:rPr>
  </w:style>
  <w:style w:type="paragraph" w:styleId="Heading1">
    <w:name w:val="Heading 1"/>
    <w:basedOn w:val="Normal"/>
    <w:next w:val="Normal"/>
    <w:qFormat/>
    <w:pPr>
      <w:outlineLvl w:val="0"/>
    </w:pPr>
    <w:rPr>
      <w:rFonts w:ascii="Arial" w:cs="Arial" w:eastAsia="Arial" w:hAnsi="Arial"/>
      <w:b/>
      <w:bCs/>
      <w:color w:val="1F2937"/>
      <w:sz w:val="30"/>
      <w:szCs w:val="30"/>
    </w:rPr>
  </w:style>
  <w:style w:type="paragraph" w:styleId="Heading2">
    <w:name w:val="Heading 2"/>
    <w:basedOn w:val="Normal"/>
    <w:next w:val="Normal"/>
    <w:qFormat/>
    <w:pPr>
      <w:outlineLvl w:val="1"/>
    </w:pPr>
    <w:rPr>
      <w:rFonts w:ascii="Arial" w:cs="Arial" w:eastAsia="Arial" w:hAnsi="Arial"/>
      <w:b/>
      <w:bCs/>
      <w:color w:val="B4530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2026-10-01T11:44:27.369Z</dcterms:created>
  <dcterms:modified xsi:type="dcterms:W3CDTF">2026-10-01T11:44:27.369Z</dcterms:modified>
</cp:coreProperties>
</file>

<file path=docProps/custom.xml><?xml version="1.0" encoding="utf-8"?>
<Properties xmlns="http://schemas.openxmlformats.org/officeDocument/2006/custom-properties" xmlns:vt="http://schemas.openxmlformats.org/officeDocument/2006/docPropsVTypes"/>
</file>