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Business Plan</w:t>
      </w:r>
    </w:p>
    <w:p>
      <w:pPr>
        <w:pBdr>
          <w:bottom w:val="single" w:color="BBBBBB" w:sz="6" w:space="6"/>
        </w:pBdr>
        <w:spacing w:after="240"/>
      </w:pPr>
      <w:r>
        <w:rPr>
          <w:rFonts w:ascii="Arial" w:cs="Arial" w:eastAsia="Arial" w:hAnsi="Arial"/>
          <w:color w:val="555555"/>
          <w:sz w:val="20"/>
          <w:szCs w:val="20"/>
        </w:rPr>
        <w:t xml:space="preserve">Decision-level governance for AI in insurance claims  ·  India first, US next  ·  Draft v0.1, 1 October 2026</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How to read this plan.</w:t>
      </w:r>
      <w:r>
        <w:rPr>
          <w:rFonts w:ascii="Arial" w:cs="Arial" w:eastAsia="Arial" w:hAnsi="Arial"/>
          <w:sz w:val="21"/>
          <w:szCs w:val="21"/>
        </w:rPr>
        <w:t xml:space="preserve"> Statements are labelled </w:t>
      </w:r>
      <w:r>
        <w:rPr>
          <w:rFonts w:ascii="Arial" w:cs="Arial" w:eastAsia="Arial" w:hAnsi="Arial"/>
          <w:b/>
          <w:bCs/>
          <w:sz w:val="21"/>
          <w:szCs w:val="21"/>
        </w:rPr>
        <w:t xml:space="preserve">[Certain]</w:t>
      </w:r>
      <w:r>
        <w:rPr>
          <w:rFonts w:ascii="Arial" w:cs="Arial" w:eastAsia="Arial" w:hAnsi="Arial"/>
          <w:sz w:val="21"/>
          <w:szCs w:val="21"/>
        </w:rPr>
        <w:t xml:space="preserve"> (strong evidence), </w:t>
      </w:r>
      <w:r>
        <w:rPr>
          <w:rFonts w:ascii="Arial" w:cs="Arial" w:eastAsia="Arial" w:hAnsi="Arial"/>
          <w:b/>
          <w:bCs/>
          <w:sz w:val="21"/>
          <w:szCs w:val="21"/>
        </w:rPr>
        <w:t xml:space="preserve">[Likely]</w:t>
      </w:r>
      <w:r>
        <w:rPr>
          <w:rFonts w:ascii="Arial" w:cs="Arial" w:eastAsia="Arial" w:hAnsi="Arial"/>
          <w:sz w:val="21"/>
          <w:szCs w:val="21"/>
        </w:rPr>
        <w:t xml:space="preserve"> (solid reasoning or a single credible source) or </w:t>
      </w:r>
      <w:r>
        <w:rPr>
          <w:rFonts w:ascii="Arial" w:cs="Arial" w:eastAsia="Arial" w:hAnsi="Arial"/>
          <w:b/>
          <w:bCs/>
          <w:sz w:val="21"/>
          <w:szCs w:val="21"/>
        </w:rPr>
        <w:t xml:space="preserve">[Guessing]</w:t>
      </w:r>
      <w:r>
        <w:rPr>
          <w:rFonts w:ascii="Arial" w:cs="Arial" w:eastAsia="Arial" w:hAnsi="Arial"/>
          <w:sz w:val="21"/>
          <w:szCs w:val="21"/>
        </w:rPr>
        <w:t xml:space="preserve"> (assumption to be tested). Most market-size, pricing and financial figures are </w:t>
      </w:r>
      <w:r>
        <w:rPr>
          <w:rFonts w:ascii="Arial" w:cs="Arial" w:eastAsia="Arial" w:hAnsi="Arial"/>
          <w:b/>
          <w:bCs/>
          <w:sz w:val="21"/>
          <w:szCs w:val="21"/>
        </w:rPr>
        <w:t xml:space="preserve">[Guessing]</w:t>
      </w:r>
      <w:r>
        <w:rPr>
          <w:rFonts w:ascii="Arial" w:cs="Arial" w:eastAsia="Arial" w:hAnsi="Arial"/>
          <w:sz w:val="21"/>
          <w:szCs w:val="21"/>
        </w:rPr>
        <w:t xml:space="preserve">: they are planning assumptions until validation calls and pilots replace them.</w:t>
      </w:r>
    </w:p>
    <w:p>
      <w:pPr>
        <w:pStyle w:val="Heading1"/>
        <w:spacing w:after="140" w:before="320"/>
      </w:pPr>
      <w:r>
        <w:rPr>
          <w:rFonts w:ascii="Arial" w:cs="Arial" w:eastAsia="Arial" w:hAnsi="Arial"/>
        </w:rPr>
        <w:t xml:space="preserve">1. Summary</w:t>
      </w:r>
    </w:p>
    <w:p>
      <w:pPr>
        <w:spacing w:after="140" w:line="288"/>
      </w:pPr>
      <w:r>
        <w:rPr>
          <w:rFonts w:ascii="Arial" w:cs="Arial" w:eastAsia="Arial" w:hAnsi="Arial"/>
          <w:sz w:val="21"/>
          <w:szCs w:val="21"/>
        </w:rPr>
        <w:t xml:space="preserve">Valifides is middleware that sits between an insurer’s AI systems and its claim decisions. Before an AI-influenced decision takes effect, Valifides checks it against Indian claim rules, routes risky decisions to an authorised human, and records tamper-evident evidence that the insurer can show to IRDAI, auditors and courts.</w:t>
      </w:r>
    </w:p>
    <w:p>
      <w:pPr>
        <w:shd w:fill="F3F4F6" w:color="auto" w:val="clear"/>
        <w:spacing w:after="160" w:before="60" w:line="276"/>
        <w:ind w:left="240" w:right="240"/>
      </w:pPr>
      <w:r>
        <w:rPr>
          <w:rFonts w:ascii="Arial" w:cs="Arial" w:eastAsia="Arial" w:hAnsi="Arial"/>
          <w:b/>
          <w:bCs/>
          <w:sz w:val="21"/>
          <w:szCs w:val="21"/>
        </w:rPr>
        <w:t xml:space="preserve">Positioning:</w:t>
      </w:r>
      <w:r>
        <w:rPr>
          <w:rFonts w:ascii="Arial" w:cs="Arial" w:eastAsia="Arial" w:hAnsi="Arial"/>
          <w:sz w:val="21"/>
          <w:szCs w:val="21"/>
        </w:rPr>
        <w:t xml:space="preserve"> Proof that no claim was denied by AI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Item</w:t>
            </w:r>
          </w:p>
        </w:tc>
        <w:tc>
          <w:tcPr>
            <w:tcW w:type="dxa" w:w="677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Plan</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First market</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general insurers, standalone health insurers and TPAs using AI in health and motor claims</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First product</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Claims rule pack (13 draft rules) on a deterministic decision engine; Shadow → Advisory → Enforce adoption path</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now</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formed an AI working group in June 2026 with claims and fraud detection as named priorities [Likely]; DPDP core obligations apply from 13 May 2027 [Likely]; claim timelines already in force</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Business model</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Paid shadow-mode pilot, then annual subscription priced by decision volume; AI-governance readiness assessments as early services revenue</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Stage</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Working demo on synthetic data (built); no customers, no validation calls yet</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Next 6 weeks</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Validate with 8–10 Indian insurers/TPAs; go/no-go against four conditions (section 11)</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Biggest risk</w:t>
            </w:r>
          </w:p>
        </w:tc>
        <w:tc>
          <w:tcPr>
            <w:tcW w:type="dxa" w:w="677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alone is a small revenue market (about ₹10–30 crore a year); venture scale needs the US (section 5)</w:t>
            </w:r>
          </w:p>
        </w:tc>
      </w:tr>
    </w:tbl>
    <w:p>
      <w:pPr>
        <w:spacing w:after="120"/>
      </w:pPr>
    </w:p>
    <w:p>
      <w:pPr>
        <w:pStyle w:val="Heading1"/>
        <w:spacing w:after="140" w:before="320"/>
      </w:pPr>
      <w:r>
        <w:rPr>
          <w:rFonts w:ascii="Arial" w:cs="Arial" w:eastAsia="Arial" w:hAnsi="Arial"/>
        </w:rPr>
        <w:t xml:space="preserve">2. Vision, mission and values</w:t>
      </w:r>
    </w:p>
    <w:p>
      <w:pPr>
        <w:pStyle w:val="Heading2"/>
        <w:spacing w:after="100" w:before="220"/>
      </w:pPr>
      <w:r>
        <w:rPr>
          <w:rFonts w:ascii="Arial" w:cs="Arial" w:eastAsia="Arial" w:hAnsi="Arial"/>
        </w:rPr>
        <w:t xml:space="preserve">Vision</w:t>
      </w:r>
    </w:p>
    <w:p>
      <w:pPr>
        <w:spacing w:after="140" w:line="288"/>
      </w:pPr>
      <w:r>
        <w:rPr>
          <w:rFonts w:ascii="Arial" w:cs="Arial" w:eastAsia="Arial" w:hAnsi="Arial"/>
          <w:sz w:val="21"/>
          <w:szCs w:val="21"/>
        </w:rPr>
        <w:t xml:space="preserve">Every automated decision that affects a person’s money, health or livelihood is checked, explainable and provable before it takes effect.</w:t>
      </w:r>
    </w:p>
    <w:p>
      <w:pPr>
        <w:pStyle w:val="Heading2"/>
        <w:spacing w:after="100" w:before="220"/>
      </w:pPr>
      <w:r>
        <w:rPr>
          <w:rFonts w:ascii="Arial" w:cs="Arial" w:eastAsia="Arial" w:hAnsi="Arial"/>
        </w:rPr>
        <w:t xml:space="preserve">Mission</w:t>
      </w:r>
    </w:p>
    <w:p>
      <w:pPr>
        <w:spacing w:after="140" w:line="288"/>
      </w:pPr>
      <w:r>
        <w:rPr>
          <w:rFonts w:ascii="Arial" w:cs="Arial" w:eastAsia="Arial" w:hAnsi="Arial"/>
          <w:sz w:val="21"/>
          <w:szCs w:val="21"/>
        </w:rPr>
        <w:t xml:space="preserve">Give insurers a simple, verifiable control layer for AI-influenced claim decisions: rules that run before execution, a human in the loop where it matters, and evidence regulators accept.</w:t>
      </w:r>
    </w:p>
    <w:p>
      <w:pPr>
        <w:pStyle w:val="Heading2"/>
        <w:spacing w:after="100" w:before="220"/>
      </w:pPr>
      <w:r>
        <w:rPr>
          <w:rFonts w:ascii="Arial" w:cs="Arial" w:eastAsia="Arial" w:hAnsi="Arial"/>
        </w:rPr>
        <w:t xml:space="preserve">Principles</w:t>
      </w:r>
    </w:p>
    <w:p>
      <w:pPr>
        <w:pStyle w:val="ListParagraph"/>
        <w:numPr>
          <w:ilvl w:val="0"/>
          <w:numId w:val="2"/>
        </w:numPr>
        <w:spacing w:after="80" w:line="276"/>
      </w:pPr>
      <w:r>
        <w:rPr>
          <w:rFonts w:ascii="Arial" w:cs="Arial" w:eastAsia="Arial" w:hAnsi="Arial"/>
          <w:b/>
          <w:bCs/>
          <w:sz w:val="21"/>
          <w:szCs w:val="21"/>
        </w:rPr>
        <w:t xml:space="preserve">Deterministic verdicts.</w:t>
      </w:r>
      <w:r>
        <w:rPr>
          <w:rFonts w:ascii="Arial" w:cs="Arial" w:eastAsia="Arial" w:hAnsi="Arial"/>
          <w:sz w:val="21"/>
          <w:szCs w:val="21"/>
        </w:rPr>
        <w:t xml:space="preserve"> Fixed rules decide; AI never decides whether AI was right. The same input always gets the same verdict.</w:t>
      </w:r>
    </w:p>
    <w:p>
      <w:pPr>
        <w:pStyle w:val="ListParagraph"/>
        <w:numPr>
          <w:ilvl w:val="0"/>
          <w:numId w:val="2"/>
        </w:numPr>
        <w:spacing w:after="80" w:line="276"/>
      </w:pPr>
      <w:r>
        <w:rPr>
          <w:rFonts w:ascii="Arial" w:cs="Arial" w:eastAsia="Arial" w:hAnsi="Arial"/>
          <w:b/>
          <w:bCs/>
          <w:sz w:val="21"/>
          <w:szCs w:val="21"/>
        </w:rPr>
        <w:t xml:space="preserve">Evidence over claims.</w:t>
      </w:r>
      <w:r>
        <w:rPr>
          <w:rFonts w:ascii="Arial" w:cs="Arial" w:eastAsia="Arial" w:hAnsi="Arial"/>
          <w:sz w:val="21"/>
          <w:szCs w:val="21"/>
        </w:rPr>
        <w:t xml:space="preserve"> We never tell a customer they are “compliant”. We show what was checked, what failed and what was done about it.</w:t>
      </w:r>
    </w:p>
    <w:p>
      <w:pPr>
        <w:pStyle w:val="ListParagraph"/>
        <w:numPr>
          <w:ilvl w:val="0"/>
          <w:numId w:val="2"/>
        </w:numPr>
        <w:spacing w:after="80" w:line="276"/>
      </w:pPr>
      <w:r>
        <w:rPr>
          <w:rFonts w:ascii="Arial" w:cs="Arial" w:eastAsia="Arial" w:hAnsi="Arial"/>
          <w:b/>
          <w:bCs/>
          <w:sz w:val="21"/>
          <w:szCs w:val="21"/>
        </w:rPr>
        <w:t xml:space="preserve">Customer data stays with the customer.</w:t>
      </w:r>
      <w:r>
        <w:rPr>
          <w:rFonts w:ascii="Arial" w:cs="Arial" w:eastAsia="Arial" w:hAnsi="Arial"/>
          <w:sz w:val="21"/>
          <w:szCs w:val="21"/>
        </w:rPr>
        <w:t xml:space="preserve"> The engine runs in the insurer’s environment; Valifides does not need to see policyholder data.</w:t>
      </w:r>
    </w:p>
    <w:p>
      <w:pPr>
        <w:pStyle w:val="ListParagraph"/>
        <w:numPr>
          <w:ilvl w:val="0"/>
          <w:numId w:val="2"/>
        </w:numPr>
        <w:spacing w:after="80" w:line="276"/>
      </w:pPr>
      <w:r>
        <w:rPr>
          <w:rFonts w:ascii="Arial" w:cs="Arial" w:eastAsia="Arial" w:hAnsi="Arial"/>
          <w:b/>
          <w:bCs/>
          <w:sz w:val="21"/>
          <w:szCs w:val="21"/>
        </w:rPr>
        <w:t xml:space="preserve">Rules are reviewed by lawyers.</w:t>
      </w:r>
      <w:r>
        <w:rPr>
          <w:rFonts w:ascii="Arial" w:cs="Arial" w:eastAsia="Arial" w:hAnsi="Arial"/>
          <w:sz w:val="21"/>
          <w:szCs w:val="21"/>
        </w:rPr>
        <w:t xml:space="preserve"> Every rule names its source and how settled that source is.</w:t>
      </w:r>
    </w:p>
    <w:p>
      <w:pPr>
        <w:pStyle w:val="Heading1"/>
        <w:spacing w:after="140" w:before="320"/>
      </w:pPr>
      <w:r>
        <w:rPr>
          <w:rFonts w:ascii="Arial" w:cs="Arial" w:eastAsia="Arial" w:hAnsi="Arial"/>
        </w:rPr>
        <w:t xml:space="preserve">3. The problem</w:t>
      </w:r>
    </w:p>
    <w:p>
      <w:pPr>
        <w:spacing w:after="140" w:line="288"/>
      </w:pPr>
      <w:r>
        <w:rPr>
          <w:rFonts w:ascii="Arial" w:cs="Arial" w:eastAsia="Arial" w:hAnsi="Arial"/>
          <w:sz w:val="21"/>
          <w:szCs w:val="21"/>
        </w:rPr>
        <w:t xml:space="preserve">Indian insurers are adding AI to claims triage, fraud scoring, document reading and damage estimation. Regulation is moving to make them accountable for those decisions, but nothing today sits at the moment of decision to check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5014"/>
        <w:gridCol w:w="2007"/>
      </w:tblGrid>
      <w:tr>
        <w:trPr>
          <w:tblHeader/>
        </w:trPr>
        <w:tc>
          <w:tcPr>
            <w:tcW w:type="dxa" w:w="200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Signal</w:t>
            </w:r>
          </w:p>
        </w:tc>
        <w:tc>
          <w:tcPr>
            <w:tcW w:type="dxa" w:w="501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Evidence</w:t>
            </w:r>
          </w:p>
        </w:tc>
        <w:tc>
          <w:tcPr>
            <w:tcW w:type="dxa" w:w="200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Confidence</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Scale of decisions</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3.26 crore health claims handled in a year; average claim about ₹28,900–₹31,100</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 IRDAI data as reported</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Denials are material</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FY24: about ₹10,937 crore of health claims repudiated (9.34%) and ₹15,100 crore disallowed</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 IRDAI data as reported</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Customer friction</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2.58 lakh insurance grievances in FY25; claims make up about 69% of general-insurance grievances</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 IRDAI annual report highlights</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Regulator attention</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AI working group (June 2026) names claims processing and fraud detection as priorities, including pre- and post-deployment audit frameworks</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Data protection</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DPDP Rules notified 13 Nov 2025; core obligations from 13 May 2027, with penalties up to ₹250 crore for security failures</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Hard deadlines exist</w:t>
            </w:r>
          </w:p>
        </w:tc>
        <w:tc>
          <w:tcPr>
            <w:tcW w:type="dxa" w:w="501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Cashless decision 1 hour, discharge 3 hours, survey 15 days, decision 7 days, payment 15 days with penal interest</w:t>
            </w:r>
          </w:p>
        </w:tc>
        <w:tc>
          <w:tcPr>
            <w:tcW w:type="dxa" w:w="20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[Likely] as reported; must be verified</w:t>
            </w:r>
          </w:p>
        </w:tc>
      </w:tr>
    </w:tbl>
    <w:p>
      <w:pPr>
        <w:spacing w:after="120"/>
      </w:pPr>
    </w:p>
    <w:p>
      <w:pPr>
        <w:spacing w:after="140" w:line="288"/>
      </w:pPr>
      <w:r>
        <w:rPr>
          <w:rFonts w:ascii="Arial" w:cs="Arial" w:eastAsia="Arial" w:hAnsi="Arial"/>
          <w:b/>
          <w:bCs/>
          <w:sz w:val="21"/>
          <w:szCs w:val="21"/>
        </w:rPr>
        <w:t xml:space="preserve">The gap:</w:t>
      </w:r>
      <w:r>
        <w:rPr>
          <w:rFonts w:ascii="Arial" w:cs="Arial" w:eastAsia="Arial" w:hAnsi="Arial"/>
          <w:sz w:val="21"/>
          <w:szCs w:val="21"/>
        </w:rPr>
        <w:t xml:space="preserve"> existing tools either document AI governance (policies, inventories, questionnaires) or monitor models after the fact. Neither stops a non-compliant AI-influenced claim decision before it reaches the customer, and neither produces decision-level evidence tied to Indian claim rules.</w:t>
      </w:r>
    </w:p>
    <w:p>
      <w:pPr>
        <w:pStyle w:val="Heading1"/>
        <w:spacing w:after="140" w:before="320"/>
      </w:pPr>
      <w:r>
        <w:rPr>
          <w:rFonts w:ascii="Arial" w:cs="Arial" w:eastAsia="Arial" w:hAnsi="Arial"/>
        </w:rPr>
        <w:t xml:space="preserve">4. The solution</w:t>
      </w:r>
    </w:p>
    <w:p>
      <w:pPr>
        <w:spacing w:after="140" w:line="288"/>
      </w:pPr>
      <w:r>
        <w:rPr>
          <w:rFonts w:ascii="Arial" w:cs="Arial" w:eastAsia="Arial" w:hAnsi="Arial"/>
          <w:sz w:val="21"/>
          <w:szCs w:val="21"/>
        </w:rPr>
        <w:t xml:space="preserve">Valifides receives each claim decision (proposed action, AI involvement, model version, human review, timeline, data purposes), runs it through a versioned rule pack, and returns APPROVE, ESCALATE or BLOCK with reasons and citations.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513"/>
        <w:gridCol w:w="1806"/>
      </w:tblGrid>
      <w:tr>
        <w:trPr>
          <w:tblHeader/>
        </w:trPr>
        <w:tc>
          <w:tcPr>
            <w:tcW w:type="dxa" w:w="270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Capability</w:t>
            </w:r>
          </w:p>
        </w:tc>
        <w:tc>
          <w:tcPr>
            <w:tcW w:type="dxa" w:w="451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the insurer gets</w:t>
            </w:r>
          </w:p>
        </w:tc>
        <w:tc>
          <w:tcPr>
            <w:tcW w:type="dxa" w:w="1806"/>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Status</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Deterministic rule engine</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13 draft India claims rules; identical input, identical verdict</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(demo)</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 / Advisory / Enforce</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Adopt without risk: observe first, enforce only when trusted</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(demo)</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 replay</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Report of what would have been escalated or blocked across past decisions, including penal interest found</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on synthetic data</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Escalation queue</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Authorised reviewer records a decision; the claim is re-checked with the review attached</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(demo)</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Evidence log</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SHA-256 hash per decision, Verify, JSON/CSV export</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(demo)</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Decision API</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POST /api/evaluate using the same engine</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Built, not yet tested on Vercel</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Customer-hosted deployment, auth, persistence</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Runs inside the insurer’s cloud; nothing leaves</w:t>
            </w:r>
          </w:p>
        </w:tc>
        <w:tc>
          <w:tcPr>
            <w:tcW w:type="dxa" w:w="180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Not built</w:t>
            </w:r>
          </w:p>
        </w:tc>
      </w:tr>
    </w:tbl>
    <w:p>
      <w:pPr>
        <w:spacing w:after="120"/>
      </w:pPr>
    </w:p>
    <w:p>
      <w:pPr>
        <w:pStyle w:val="Heading1"/>
        <w:spacing w:after="140" w:before="320"/>
      </w:pPr>
      <w:r>
        <w:rPr>
          <w:rFonts w:ascii="Arial" w:cs="Arial" w:eastAsia="Arial" w:hAnsi="Arial"/>
        </w:rPr>
        <w:t xml:space="preserve">5. Market</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Uncomfortable truth first:</w:t>
      </w:r>
      <w:r>
        <w:rPr>
          <w:rFonts w:ascii="Arial" w:cs="Arial" w:eastAsia="Arial" w:hAnsi="Arial"/>
          <w:sz w:val="21"/>
          <w:szCs w:val="21"/>
        </w:rPr>
        <w:t xml:space="preserve"> India alone is a small revenue market for this product. Two independent estimates both land at about ₹10–11 crore a year (about $1.2–1.3M), rising to perhaps ₹20–30 crore with motor claims and higher pricing. India can supply reference customers and early revenue; it cannot on its own support a venture-scale company. The US is where scale would have to come from.</w:t>
      </w:r>
    </w:p>
    <w:p>
      <w:pPr>
        <w:pStyle w:val="Heading2"/>
        <w:spacing w:after="100" w:before="220"/>
      </w:pPr>
      <w:r>
        <w:rPr>
          <w:rFonts w:ascii="Arial" w:cs="Arial" w:eastAsia="Arial" w:hAnsi="Arial"/>
        </w:rPr>
        <w:t xml:space="preserve">5.1 India, two ways of sizing it [Guessing]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Method</w:t>
            </w:r>
          </w:p>
        </w:tc>
        <w:tc>
          <w:tcPr>
            <w:tcW w:type="dxa" w:w="451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Calculation</w:t>
            </w:r>
          </w:p>
        </w:tc>
        <w:tc>
          <w:tcPr>
            <w:tcW w:type="dxa" w:w="270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Result</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Per decision</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3.26 crore health claims a year × ₹3 per evaluated decision (motor excluded until volumes are sourced)</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₹9.8 crore a year (about $1.2M)</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Per customer</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33 general and standalone health insurers × ₹25 lakh, plus about 20 TPAs × ₹10 lakh</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₹10–11 crore a year (about $1.2–1.4M)</w:t>
            </w:r>
          </w:p>
        </w:tc>
      </w:tr>
    </w:tbl>
    <w:p>
      <w:pPr>
        <w:spacing w:after="120"/>
      </w:pPr>
    </w:p>
    <w:p>
      <w:pPr>
        <w:spacing w:after="140" w:line="288"/>
      </w:pPr>
      <w:r>
        <w:rPr>
          <w:rFonts w:ascii="Arial" w:cs="Arial" w:eastAsia="Arial" w:hAnsi="Arial"/>
          <w:sz w:val="21"/>
          <w:szCs w:val="21"/>
        </w:rPr>
        <w:t xml:space="preserve">Both methods converge on about ₹10 crore a year for health claims. Motor claims (volumes still to be sourced) and higher per-decision pricing for AI-influenced or adverse decisions could double or triple that. Per-customer pricing is easier to sell first.</w:t>
      </w:r>
    </w:p>
    <w:p>
      <w:pPr>
        <w:pStyle w:val="Heading2"/>
        <w:spacing w:after="100" w:before="220"/>
      </w:pPr>
      <w:r>
        <w:rPr>
          <w:rFonts w:ascii="Arial" w:cs="Arial" w:eastAsia="Arial" w:hAnsi="Arial"/>
        </w:rPr>
        <w:t xml:space="preserve">5.2 TAM, SAM and SOM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5641"/>
        <w:gridCol w:w="2257"/>
      </w:tblGrid>
      <w:tr>
        <w:trPr>
          <w:tblHeader/>
        </w:trPr>
        <w:tc>
          <w:tcPr>
            <w:tcW w:type="dxa" w:w="112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Level</w:t>
            </w:r>
          </w:p>
        </w:tc>
        <w:tc>
          <w:tcPr>
            <w:tcW w:type="dxa" w:w="5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Definition</w:t>
            </w:r>
          </w:p>
        </w:tc>
        <w:tc>
          <w:tcPr>
            <w:tcW w:type="dxa" w:w="225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Estimate [Guessing]</w:t>
            </w:r>
          </w:p>
        </w:tc>
      </w:tr>
      <w:tr>
        <w:tc>
          <w:tcPr>
            <w:tcW w:type="dxa" w:w="112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TAM</w:t>
            </w:r>
          </w:p>
        </w:tc>
        <w:tc>
          <w:tcPr>
            <w:tcW w:type="dxa" w:w="5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All health and motor claim decisions at Indian non-life insurers and TPAs</w:t>
            </w:r>
          </w:p>
        </w:tc>
        <w:tc>
          <w:tcPr>
            <w:tcW w:type="dxa" w:w="22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₹10–30 crore a year</w:t>
            </w:r>
          </w:p>
        </w:tc>
      </w:tr>
      <w:tr>
        <w:tc>
          <w:tcPr>
            <w:tcW w:type="dxa" w:w="112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SAM</w:t>
            </w:r>
          </w:p>
        </w:tc>
        <w:tc>
          <w:tcPr>
            <w:tcW w:type="dxa" w:w="5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Private general insurers, standalone health insurers and TPAs already using AI in claims (assume about 60% of volume)</w:t>
            </w:r>
          </w:p>
        </w:tc>
        <w:tc>
          <w:tcPr>
            <w:tcW w:type="dxa" w:w="22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₹6–18 crore a year</w:t>
            </w:r>
          </w:p>
        </w:tc>
      </w:tr>
      <w:tr>
        <w:tc>
          <w:tcPr>
            <w:tcW w:type="dxa" w:w="112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SOM (3 years)</w:t>
            </w:r>
          </w:p>
        </w:tc>
        <w:tc>
          <w:tcPr>
            <w:tcW w:type="dxa" w:w="5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4–6 paying customers at about ₹20 lakh average, plus services</w:t>
            </w:r>
          </w:p>
        </w:tc>
        <w:tc>
          <w:tcPr>
            <w:tcW w:type="dxa" w:w="22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₹1–1.5 crore ARR</w:t>
            </w:r>
          </w:p>
        </w:tc>
      </w:tr>
    </w:tbl>
    <w:p>
      <w:pPr>
        <w:spacing w:after="120"/>
      </w:pPr>
    </w:p>
    <w:p>
      <w:pPr>
        <w:pStyle w:val="Heading2"/>
        <w:spacing w:after="100" w:before="220"/>
      </w:pPr>
      <w:r>
        <w:rPr>
          <w:rFonts w:ascii="Arial" w:cs="Arial" w:eastAsia="Arial" w:hAnsi="Arial"/>
        </w:rPr>
        <w:t xml:space="preserve">5.3 United States (next market)</w:t>
      </w:r>
    </w:p>
    <w:p>
      <w:pPr>
        <w:spacing w:after="140" w:line="288"/>
      </w:pPr>
      <w:r>
        <w:rPr>
          <w:rFonts w:ascii="Arial" w:cs="Arial" w:eastAsia="Arial" w:hAnsi="Arial"/>
          <w:sz w:val="21"/>
          <w:szCs w:val="21"/>
        </w:rPr>
        <w:t xml:space="preserve">Same engine, new rule packs. The US P&amp;C claims pitch rests on the NAIC AI Model Bulletin (adopted in 24+ states and D.C.), state unfair-claims-practices laws and bad-faith litigation [Likely]. US health has the strongest AI-denial laws (seven states passed laws in 2026) but requires HIPAA readiness [Likely]. Pricing is likely 5–10 times India for equivalent customers [Guessing]. US sizing will be done bottom-up from claim volumes and buyer counts before any US launch.</w:t>
      </w:r>
    </w:p>
    <w:p>
      <w:pPr>
        <w:pStyle w:val="Heading1"/>
        <w:spacing w:after="140" w:before="320"/>
      </w:pPr>
      <w:r>
        <w:rPr>
          <w:rFonts w:ascii="Arial" w:cs="Arial" w:eastAsia="Arial" w:hAnsi="Arial"/>
        </w:rPr>
        <w:t xml:space="preserve">6. Business model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1504"/>
        <w:gridCol w:w="3010"/>
      </w:tblGrid>
      <w:tr>
        <w:trPr>
          <w:tblHeader/>
        </w:trPr>
        <w:tc>
          <w:tcPr>
            <w:tcW w:type="dxa" w:w="2256"/>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Offer</w:t>
            </w:r>
          </w:p>
        </w:tc>
        <w:tc>
          <w:tcPr>
            <w:tcW w:type="dxa" w:w="2256"/>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Who buys</w:t>
            </w:r>
          </w:p>
        </w:tc>
        <w:tc>
          <w:tcPr>
            <w:tcW w:type="dxa" w:w="150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Price [Guessing]</w:t>
            </w:r>
          </w:p>
        </w:tc>
        <w:tc>
          <w:tcPr>
            <w:tcW w:type="dxa" w:w="301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Purpose</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AI governance readiness assessment</w:t>
            </w:r>
          </w:p>
        </w:tc>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Insurer or TPA preparing for the IRDAI AI framework</w:t>
            </w:r>
          </w:p>
        </w:tc>
        <w:tc>
          <w:tcPr>
            <w:tcW w:type="dxa" w:w="15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₹5–10 lakh fixed</w:t>
            </w:r>
          </w:p>
        </w:tc>
        <w:tc>
          <w:tcPr>
            <w:tcW w:type="dxa" w:w="30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Early revenue; uses the founder’s AIGP expertise; opens the door</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Shadow-mode pilot (60 days)</w:t>
            </w:r>
          </w:p>
        </w:tc>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Insurer or TPA</w:t>
            </w:r>
          </w:p>
        </w:tc>
        <w:tc>
          <w:tcPr>
            <w:tcW w:type="dxa" w:w="15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₹3–5 lakh fixed</w:t>
            </w:r>
          </w:p>
        </w:tc>
        <w:tc>
          <w:tcPr>
            <w:tcW w:type="dxa" w:w="30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Paid proof; produces the replay report</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Annual subscription</w:t>
            </w:r>
          </w:p>
        </w:tc>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Insurer or TPA</w:t>
            </w:r>
          </w:p>
        </w:tc>
        <w:tc>
          <w:tcPr>
            <w:tcW w:type="dxa" w:w="15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₹15–60 lakh a year by decision volume</w:t>
            </w:r>
          </w:p>
        </w:tc>
        <w:tc>
          <w:tcPr>
            <w:tcW w:type="dxa" w:w="30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Core recurring revenue; includes rule-pack updates</w:t>
            </w:r>
          </w:p>
        </w:tc>
      </w:tr>
      <w:tr>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Rule-pack updates</w:t>
            </w:r>
          </w:p>
        </w:tc>
        <w:tc>
          <w:tcPr>
            <w:tcW w:type="dxa" w:w="2256"/>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Included</w:t>
            </w:r>
          </w:p>
        </w:tc>
        <w:tc>
          <w:tcPr>
            <w:tcW w:type="dxa" w:w="15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t>
            </w:r>
          </w:p>
        </w:tc>
        <w:tc>
          <w:tcPr>
            <w:tcW w:type="dxa" w:w="30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Moat: rules kept current and lawyer-reviewed</w:t>
            </w:r>
          </w:p>
        </w:tc>
      </w:tr>
    </w:tbl>
    <w:p>
      <w:pPr>
        <w:spacing w:after="120"/>
      </w:pPr>
    </w:p>
    <w:p>
      <w:pPr>
        <w:spacing w:after="140" w:line="288"/>
      </w:pPr>
      <w:r>
        <w:rPr>
          <w:rFonts w:ascii="Arial" w:cs="Arial" w:eastAsia="Arial" w:hAnsi="Arial"/>
          <w:sz w:val="21"/>
          <w:szCs w:val="21"/>
        </w:rPr>
        <w:t xml:space="preserve">Pricing will be tested on the first 5 calls. The test question: “What do you spend today preparing claims evidence for IRDAI inspections and grievance escalations?”</w:t>
      </w:r>
    </w:p>
    <w:p>
      <w:pPr>
        <w:pStyle w:val="Heading1"/>
        <w:spacing w:after="140" w:before="320"/>
      </w:pPr>
      <w:r>
        <w:rPr>
          <w:rFonts w:ascii="Arial" w:cs="Arial" w:eastAsia="Arial" w:hAnsi="Arial"/>
        </w:rPr>
        <w:t xml:space="preserve">7. 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2777"/>
        <w:gridCol w:w="1388"/>
        <w:gridCol w:w="2779"/>
      </w:tblGrid>
      <w:tr>
        <w:trPr>
          <w:tblHeader/>
        </w:trPr>
        <w:tc>
          <w:tcPr>
            <w:tcW w:type="dxa" w:w="20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Group</w:t>
            </w:r>
          </w:p>
        </w:tc>
        <w:tc>
          <w:tcPr>
            <w:tcW w:type="dxa" w:w="277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Examples</w:t>
            </w:r>
          </w:p>
        </w:tc>
        <w:tc>
          <w:tcPr>
            <w:tcW w:type="dxa" w:w="138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Overlap</w:t>
            </w:r>
          </w:p>
        </w:tc>
        <w:tc>
          <w:tcPr>
            <w:tcW w:type="dxa" w:w="277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How Valifides differs</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Insurance AI governance (global)</w:t>
            </w:r>
          </w:p>
        </w:tc>
        <w:tc>
          <w:tcPr>
            <w:tcW w:type="dxa" w:w="277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Swept.ai, Monitaur, FairPlay</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High in the US; [Guessing] low presence in India</w:t>
            </w:r>
          </w:p>
        </w:tc>
        <w:tc>
          <w:tcPr>
            <w:tcW w:type="dxa" w:w="277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Pre-execution checks; Indian claim rules; decision-level evidence</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General AI governance platforms</w:t>
            </w:r>
          </w:p>
        </w:tc>
        <w:tc>
          <w:tcPr>
            <w:tcW w:type="dxa" w:w="277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Credo AI, IBM watsonx.governance, OneTrust, Holistic AI, Arthur, Fiddler</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Medium</w:t>
            </w:r>
          </w:p>
        </w:tc>
        <w:tc>
          <w:tcPr>
            <w:tcW w:type="dxa" w:w="277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Narrow and deep on claims, not broad and shallow</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Indian AI governance startups</w:t>
            </w:r>
          </w:p>
        </w:tc>
        <w:tc>
          <w:tcPr>
            <w:tcW w:type="dxa" w:w="277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Trusys, Humaineeti and others publishing on RBI FREE-AI [Likely; offerings unchecked]</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Medium</w:t>
            </w:r>
          </w:p>
        </w:tc>
        <w:tc>
          <w:tcPr>
            <w:tcW w:type="dxa" w:w="277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Insurance claims focus rather than banking frameworks</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Claims platforms</w:t>
            </w:r>
          </w:p>
        </w:tc>
        <w:tc>
          <w:tcPr>
            <w:tcW w:type="dxa" w:w="277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Core claims systems with workflow and SLA tracking</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Medium</w:t>
            </w:r>
          </w:p>
        </w:tc>
        <w:tc>
          <w:tcPr>
            <w:tcW w:type="dxa" w:w="277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Independent control layer across vendors; regulator-ready evidence</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Agent guardrail tools</w:t>
            </w:r>
          </w:p>
        </w:tc>
        <w:tc>
          <w:tcPr>
            <w:tcW w:type="dxa" w:w="277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OpenAI Agents SDK approvals, NeMo Guardrails, Guardrails AI</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Low–medium</w:t>
            </w:r>
          </w:p>
        </w:tc>
        <w:tc>
          <w:tcPr>
            <w:tcW w:type="dxa" w:w="277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Generic tools carry no insurance rules or evidence</w:t>
            </w:r>
          </w:p>
        </w:tc>
      </w:tr>
    </w:tbl>
    <w:p>
      <w:pPr>
        <w:spacing w:after="120"/>
      </w:pPr>
    </w:p>
    <w:p>
      <w:pPr>
        <w:spacing w:after="140" w:line="288"/>
      </w:pPr>
      <w:r>
        <w:rPr>
          <w:rFonts w:ascii="Arial" w:cs="Arial" w:eastAsia="Arial" w:hAnsi="Arial"/>
          <w:b/>
          <w:bCs/>
          <w:sz w:val="21"/>
          <w:szCs w:val="21"/>
        </w:rPr>
        <w:t xml:space="preserve">Durable advantage:</w:t>
      </w:r>
      <w:r>
        <w:rPr>
          <w:rFonts w:ascii="Arial" w:cs="Arial" w:eastAsia="Arial" w:hAnsi="Arial"/>
          <w:sz w:val="21"/>
          <w:szCs w:val="21"/>
        </w:rPr>
        <w:t xml:space="preserve"> not the engine (it can be copied) but the rule content — Indian claim rules, later state-by-state US rules, kept current and reviewed by counsel — plus the evidence trail customers accumulate inside Valifides.</w:t>
      </w:r>
    </w:p>
    <w:p>
      <w:pPr>
        <w:pStyle w:val="Heading1"/>
        <w:spacing w:after="140" w:before="320"/>
      </w:pPr>
      <w:r>
        <w:rPr>
          <w:rFonts w:ascii="Arial" w:cs="Arial" w:eastAsia="Arial" w:hAnsi="Arial"/>
        </w:rPr>
        <w:t xml:space="preserve">8. Go-to-market (summary)</w:t>
      </w:r>
    </w:p>
    <w:p>
      <w:pPr>
        <w:spacing w:after="140" w:line="288"/>
      </w:pPr>
      <w:r>
        <w:rPr>
          <w:rFonts w:ascii="Arial" w:cs="Arial" w:eastAsia="Arial" w:hAnsi="Arial"/>
          <w:sz w:val="21"/>
          <w:szCs w:val="21"/>
        </w:rPr>
        <w:t xml:space="preserve">Founder-led sales in India to digital-first private insurers, standalone health insurers and TPAs, entered through a paid readiness assessment or a 60-day shadow pilot. Thought leadership on the IRDAI AI framework and DPDP. Full detail in the separate Go-to-Market Strategy.</w:t>
      </w:r>
    </w:p>
    <w:p>
      <w:pPr>
        <w:pStyle w:val="Heading1"/>
        <w:spacing w:after="140" w:before="320"/>
      </w:pPr>
      <w:r>
        <w:rPr>
          <w:rFonts w:ascii="Arial" w:cs="Arial" w:eastAsia="Arial" w:hAnsi="Arial"/>
        </w:rPr>
        <w:t xml:space="preserve">9. Team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2461"/>
        <w:gridCol w:w="4104"/>
      </w:tblGrid>
      <w:tr>
        <w:trPr>
          <w:tblHeader/>
        </w:trPr>
        <w:tc>
          <w:tcPr>
            <w:tcW w:type="dxa" w:w="246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Role</w:t>
            </w:r>
          </w:p>
        </w:tc>
        <w:tc>
          <w:tcPr>
            <w:tcW w:type="dxa" w:w="246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Status</w:t>
            </w:r>
          </w:p>
        </w:tc>
        <w:tc>
          <w:tcPr>
            <w:tcW w:type="dxa" w:w="410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Plan</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Founder: product, AI governance, build</w:t>
            </w:r>
          </w:p>
        </w:tc>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Swathi Chirravuri (AIGP, PSPO, Executive MBA)</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 place</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Insurance claims advisor</w:t>
            </w:r>
          </w:p>
        </w:tc>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Gap</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Recruit a former claims head or TPA operations leader within 6 weeks (go/no-go condition)</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Insurance regulatory counsel</w:t>
            </w:r>
          </w:p>
        </w:tc>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Gap</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Paid review of the rule pack before any pilot</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Founding engineer</w:t>
            </w:r>
          </w:p>
        </w:tc>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Gap</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Hire or contract once the first pilot is signed; needed for customer-hosted deployment and security</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US go-to-market partner</w:t>
            </w:r>
          </w:p>
        </w:tc>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Later</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Only after India reference customers exist</w:t>
            </w:r>
          </w:p>
        </w:tc>
      </w:tr>
    </w:tbl>
    <w:p>
      <w:pPr>
        <w:spacing w:after="120"/>
      </w:pPr>
    </w:p>
    <w:p>
      <w:pPr>
        <w:pStyle w:val="Heading1"/>
        <w:spacing w:after="140" w:before="320"/>
      </w:pPr>
      <w:r>
        <w:rPr>
          <w:rFonts w:ascii="Arial" w:cs="Arial" w:eastAsia="Arial" w:hAnsi="Arial"/>
        </w:rPr>
        <w:t xml:space="preserve">10. Financial plan (assumptions, not forecasts)</w:t>
      </w:r>
    </w:p>
    <w:p>
      <w:pPr>
        <w:pBdr>
          <w:left w:val="single" w:color="D97706" w:sz="18" w:space="8"/>
        </w:pBdr>
        <w:shd w:fill="FEF3C7" w:color="auto" w:val="clear"/>
        <w:spacing w:after="160" w:before="60" w:line="276"/>
        <w:ind w:left="120" w:right="120"/>
      </w:pPr>
      <w:r>
        <w:rPr>
          <w:rFonts w:ascii="Arial" w:cs="Arial" w:eastAsia="Arial" w:hAnsi="Arial"/>
          <w:sz w:val="21"/>
          <w:szCs w:val="21"/>
        </w:rPr>
        <w:t xml:space="preserve">Every figure in this section is </w:t>
      </w:r>
      <w:r>
        <w:rPr>
          <w:rFonts w:ascii="Arial" w:cs="Arial" w:eastAsia="Arial" w:hAnsi="Arial"/>
          <w:b/>
          <w:bCs/>
          <w:sz w:val="21"/>
          <w:szCs w:val="21"/>
        </w:rPr>
        <w:t xml:space="preserve">[Guessing]</w:t>
      </w:r>
      <w:r>
        <w:rPr>
          <w:rFonts w:ascii="Arial" w:cs="Arial" w:eastAsia="Arial" w:hAnsi="Arial"/>
          <w:sz w:val="21"/>
          <w:szCs w:val="21"/>
        </w:rPr>
        <w:t xml:space="preserve">. It shows the shape of a bootstrapped first year, to be replaced with real numbers after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Item</w:t>
            </w:r>
          </w:p>
        </w:tc>
        <w:tc>
          <w:tcPr>
            <w:tcW w:type="dxa" w:w="270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Year 1 (Oct 2026–Sep 2027)</w:t>
            </w:r>
          </w:p>
        </w:tc>
        <w:tc>
          <w:tcPr>
            <w:tcW w:type="dxa" w:w="270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Basis</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Readiness assessments</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 ₹6 lakh</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Paid pilots</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₹8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 ₹4 lakh</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Annual subscriptions</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₹20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customer, part-year</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b/>
                <w:bCs/>
                <w:sz w:val="21"/>
                <w:szCs w:val="21"/>
              </w:rPr>
              <w:t xml:space="preserve">Revenue</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b/>
                <w:bCs/>
                <w:sz w:val="21"/>
                <w:szCs w:val="21"/>
              </w:rPr>
              <w:t xml:space="preserve">About ₹40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Legal review of rule pack</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₹4–6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One-time, then updates</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 readiness (ISO 27001 / SOC 2 preparation)</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₹5–8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Needed before production use</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Founding engineer (from month 6)</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₹15–20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Contract or hire</w:t>
            </w: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Cloud, tools, travel</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₹3–5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p>
        </w:tc>
      </w:tr>
      <w:tr>
        <w:tc>
          <w:tcPr>
            <w:tcW w:type="dxa" w:w="36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b/>
                <w:bCs/>
                <w:sz w:val="21"/>
                <w:szCs w:val="21"/>
              </w:rPr>
              <w:t xml:space="preserve">Costs</w:t>
            </w:r>
          </w:p>
        </w:tc>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b/>
                <w:bCs/>
                <w:sz w:val="21"/>
                <w:szCs w:val="21"/>
              </w:rPr>
              <w:t xml:space="preserve">About ₹27–39 lakh</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Founder salary excluded</w:t>
            </w:r>
          </w:p>
        </w:tc>
      </w:tr>
    </w:tbl>
    <w:p>
      <w:pPr>
        <w:spacing w:after="120"/>
      </w:pPr>
    </w:p>
    <w:p>
      <w:pPr>
        <w:pStyle w:val="Heading1"/>
        <w:spacing w:after="140" w:before="320"/>
      </w:pPr>
      <w:r>
        <w:rPr>
          <w:rFonts w:ascii="Arial" w:cs="Arial" w:eastAsia="Arial" w:hAnsi="Arial"/>
        </w:rPr>
        <w:t xml:space="preserve">11. Milestones and go/no-go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When</w:t>
            </w:r>
          </w:p>
        </w:tc>
        <w:tc>
          <w:tcPr>
            <w:tcW w:type="dxa" w:w="451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Milestone</w:t>
            </w:r>
          </w:p>
        </w:tc>
        <w:tc>
          <w:tcPr>
            <w:tcW w:type="dxa" w:w="270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Gate</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Weeks 1–6</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8–10 validation conversations in India</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All four conditions below met</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Weeks 6–12</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Rule pack reviewed by counsel; first paid pilot or assessment</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signed pilot</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Months 3–6</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Customer-hosted deployment; persistence and access control</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Pilot in shadow mode on de-identified data</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Months 6–12</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First annual subscription; IRDAI framework mapped into the rule pack once published</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paying customer, 1 reference</w:t>
            </w:r>
          </w:p>
        </w:tc>
      </w:tr>
      <w:tr>
        <w:tc>
          <w:tcPr>
            <w:tcW w:type="dxa" w:w="18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Year 2</w:t>
            </w:r>
          </w:p>
        </w:tc>
        <w:tc>
          <w:tcPr>
            <w:tcW w:type="dxa" w:w="451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US rule pack and US partner, only if India references exist</w:t>
            </w:r>
          </w:p>
        </w:tc>
        <w:tc>
          <w:tcPr>
            <w:tcW w:type="dxa" w:w="270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 Indian customers</w:t>
            </w:r>
          </w:p>
        </w:tc>
      </w:tr>
    </w:tbl>
    <w:p>
      <w:pPr>
        <w:spacing w:after="120"/>
      </w:pPr>
    </w:p>
    <w:p>
      <w:pPr>
        <w:spacing w:after="140" w:line="288"/>
      </w:pPr>
      <w:r>
        <w:rPr>
          <w:rFonts w:ascii="Arial" w:cs="Arial" w:eastAsia="Arial" w:hAnsi="Arial"/>
          <w:b/>
          <w:bCs/>
          <w:sz w:val="21"/>
          <w:szCs w:val="21"/>
        </w:rPr>
        <w:t xml:space="preserve">Go/no-go conditions (6 weeks):</w:t>
      </w:r>
    </w:p>
    <w:p>
      <w:pPr>
        <w:pStyle w:val="ListParagraph"/>
        <w:numPr>
          <w:ilvl w:val="0"/>
          <w:numId w:val="3"/>
        </w:numPr>
        <w:spacing w:after="80" w:line="276"/>
      </w:pPr>
      <w:r>
        <w:rPr>
          <w:rFonts w:ascii="Arial" w:cs="Arial" w:eastAsia="Arial" w:hAnsi="Arial"/>
          <w:sz w:val="21"/>
          <w:szCs w:val="21"/>
        </w:rPr>
        <w:t xml:space="preserve">At least 3 insurers or TPAs say they are actively preparing for AI oversight in claims (IRDAI framework or DPDP).</w:t>
      </w:r>
    </w:p>
    <w:p>
      <w:pPr>
        <w:pStyle w:val="ListParagraph"/>
        <w:numPr>
          <w:ilvl w:val="0"/>
          <w:numId w:val="3"/>
        </w:numPr>
        <w:spacing w:after="80" w:line="276"/>
      </w:pPr>
      <w:r>
        <w:rPr>
          <w:rFonts w:ascii="Arial" w:cs="Arial" w:eastAsia="Arial" w:hAnsi="Arial"/>
          <w:sz w:val="21"/>
          <w:szCs w:val="21"/>
        </w:rPr>
        <w:t xml:space="preserve">At least 1 agrees to a paid assessment or a shadow pilot on de-identified data.</w:t>
      </w:r>
    </w:p>
    <w:p>
      <w:pPr>
        <w:pStyle w:val="ListParagraph"/>
        <w:numPr>
          <w:ilvl w:val="0"/>
          <w:numId w:val="3"/>
        </w:numPr>
        <w:spacing w:after="80" w:line="276"/>
      </w:pPr>
      <w:r>
        <w:rPr>
          <w:rFonts w:ascii="Arial" w:cs="Arial" w:eastAsia="Arial" w:hAnsi="Arial"/>
          <w:sz w:val="21"/>
          <w:szCs w:val="21"/>
        </w:rPr>
        <w:t xml:space="preserve">No established local competitor already offers pre-execution checks with Indian claim rules.</w:t>
      </w:r>
    </w:p>
    <w:p>
      <w:pPr>
        <w:pStyle w:val="ListParagraph"/>
        <w:numPr>
          <w:ilvl w:val="0"/>
          <w:numId w:val="3"/>
        </w:numPr>
        <w:spacing w:after="80" w:line="276"/>
      </w:pPr>
      <w:r>
        <w:rPr>
          <w:rFonts w:ascii="Arial" w:cs="Arial" w:eastAsia="Arial" w:hAnsi="Arial"/>
          <w:sz w:val="21"/>
          <w:szCs w:val="21"/>
        </w:rPr>
        <w:t xml:space="preserve">One insurance claims advisor agrees to join.</w:t>
      </w:r>
    </w:p>
    <w:p>
      <w:pPr>
        <w:pStyle w:val="Heading1"/>
        <w:spacing w:after="140" w:before="320"/>
      </w:pPr>
      <w:r>
        <w:rPr>
          <w:rFonts w:ascii="Arial" w:cs="Arial" w:eastAsia="Arial" w:hAnsi="Arial"/>
        </w:rPr>
        <w:t xml:space="preserve">12.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1641"/>
        <w:gridCol w:w="4103"/>
      </w:tblGrid>
      <w:tr>
        <w:trPr>
          <w:tblHeader/>
        </w:trPr>
        <w:tc>
          <w:tcPr>
            <w:tcW w:type="dxa" w:w="32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Risk</w:t>
            </w:r>
          </w:p>
        </w:tc>
        <w:tc>
          <w:tcPr>
            <w:tcW w:type="dxa" w:w="1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Likelihood</w:t>
            </w:r>
          </w:p>
        </w:tc>
        <w:tc>
          <w:tcPr>
            <w:tcW w:type="dxa" w:w="410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Mitigation</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framework is lighter or slower than expected</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Medium</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Anchor on rules already in force (claim timelines, DPDP); treat AI-specific rules as add-ons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Small Indian deal sizes</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High</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Services revenue early; per-decision pricing for large insurers; US later</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Long sales cycles at large and public-sector insurers</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High</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Start with digital-first private insurers and TPAs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Rules are wrong or out of date</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Medium</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Counsel review; source status on every rule; versioned packs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 review failure</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High without investment</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Customer-hosted deployment; no policyholder data leaves; ISO 27001 path</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Single founder</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High</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Advisor and engineer hires tied to pilot milestones</w:t>
            </w:r>
          </w:p>
        </w:tc>
      </w:tr>
    </w:tbl>
    <w:p>
      <w:pPr>
        <w:spacing w:after="120"/>
      </w:pPr>
    </w:p>
    <w:p>
      <w:pPr>
        <w:pStyle w:val="Heading1"/>
        <w:spacing w:after="140" w:before="320"/>
      </w:pPr>
      <w:r>
        <w:rPr>
          <w:rFonts w:ascii="Arial" w:cs="Arial" w:eastAsia="Arial" w:hAnsi="Arial"/>
        </w:rPr>
        <w:t xml:space="preserve">Sources</w:t>
      </w:r>
    </w:p>
    <w:p>
      <w:pPr>
        <w:pStyle w:val="ListParagraph"/>
        <w:numPr>
          <w:ilvl w:val="0"/>
          <w:numId w:val="2"/>
        </w:numPr>
        <w:spacing w:after="80" w:line="276"/>
      </w:pPr>
      <w:r>
        <w:rPr>
          <w:rFonts w:ascii="Arial" w:cs="Arial" w:eastAsia="Arial" w:hAnsi="Arial"/>
          <w:sz w:val="21"/>
          <w:szCs w:val="21"/>
        </w:rPr>
        <w:t xml:space="preserve">IRDAI Annual Report 2024-25 highlights (insurer counts, claims, grievances): algatesinsurance.in/irdai-annual-report-2024-25-highlights</w:t>
      </w:r>
    </w:p>
    <w:p>
      <w:pPr>
        <w:pStyle w:val="ListParagraph"/>
        <w:numPr>
          <w:ilvl w:val="0"/>
          <w:numId w:val="2"/>
        </w:numPr>
        <w:spacing w:after="80" w:line="276"/>
      </w:pPr>
      <w:r>
        <w:rPr>
          <w:rFonts w:ascii="Arial" w:cs="Arial" w:eastAsia="Arial" w:hAnsi="Arial"/>
          <w:sz w:val="21"/>
          <w:szCs w:val="21"/>
        </w:rPr>
        <w:t xml:space="preserve">Business Standard, health claims disallowed and repudiated in FY24 (IRDAI data): business-standard.com</w:t>
      </w:r>
    </w:p>
    <w:p>
      <w:pPr>
        <w:pStyle w:val="ListParagraph"/>
        <w:numPr>
          <w:ilvl w:val="0"/>
          <w:numId w:val="2"/>
        </w:numPr>
        <w:spacing w:after="80" w:line="276"/>
      </w:pPr>
      <w:r>
        <w:rPr>
          <w:rFonts w:ascii="Arial" w:cs="Arial" w:eastAsia="Arial" w:hAnsi="Arial"/>
          <w:sz w:val="21"/>
          <w:szCs w:val="21"/>
        </w:rPr>
        <w:t xml:space="preserve">Asia Insurance Review, record 3.26 crore health claims settled in 2024-25: asiainsurancereview.com</w:t>
      </w:r>
    </w:p>
    <w:p>
      <w:pPr>
        <w:pStyle w:val="ListParagraph"/>
        <w:numPr>
          <w:ilvl w:val="0"/>
          <w:numId w:val="2"/>
        </w:numPr>
        <w:spacing w:after="80" w:line="276"/>
      </w:pPr>
      <w:r>
        <w:rPr>
          <w:rFonts w:ascii="Arial" w:cs="Arial" w:eastAsia="Arial" w:hAnsi="Arial"/>
          <w:sz w:val="21"/>
          <w:szCs w:val="21"/>
        </w:rPr>
        <w:t xml:space="preserve">Insurance Business, IRDAI AI working group (June 2026): insurancebusinessmag.com</w:t>
      </w:r>
    </w:p>
    <w:p>
      <w:pPr>
        <w:pStyle w:val="ListParagraph"/>
        <w:numPr>
          <w:ilvl w:val="0"/>
          <w:numId w:val="2"/>
        </w:numPr>
        <w:spacing w:after="80" w:line="276"/>
      </w:pPr>
      <w:r>
        <w:rPr>
          <w:rFonts w:ascii="Arial" w:cs="Arial" w:eastAsia="Arial" w:hAnsi="Arial"/>
          <w:sz w:val="21"/>
          <w:szCs w:val="21"/>
        </w:rPr>
        <w:t xml:space="preserve">Consently, DPDP Rules 2025 implementation timeline: consently.in</w:t>
      </w:r>
    </w:p>
    <w:p>
      <w:pPr>
        <w:pStyle w:val="ListParagraph"/>
        <w:numPr>
          <w:ilvl w:val="0"/>
          <w:numId w:val="2"/>
        </w:numPr>
        <w:spacing w:after="80" w:line="276"/>
      </w:pPr>
      <w:r>
        <w:rPr>
          <w:rFonts w:ascii="Arial" w:cs="Arial" w:eastAsia="Arial" w:hAnsi="Arial"/>
          <w:sz w:val="21"/>
          <w:szCs w:val="21"/>
        </w:rPr>
        <w:t xml:space="preserve">Oquilia, IRDAI health master circular and claim turnaround norms (secondary summaries): oquilia.com</w:t>
      </w:r>
    </w:p>
    <w:p>
      <w:pPr>
        <w:pStyle w:val="ListParagraph"/>
        <w:numPr>
          <w:ilvl w:val="0"/>
          <w:numId w:val="2"/>
        </w:numPr>
        <w:spacing w:after="80" w:line="276"/>
      </w:pPr>
      <w:r>
        <w:rPr>
          <w:rFonts w:ascii="Arial" w:cs="Arial" w:eastAsia="Arial" w:hAnsi="Arial"/>
          <w:sz w:val="21"/>
          <w:szCs w:val="21"/>
        </w:rPr>
        <w:t xml:space="preserve">actuary.info, NAIC AI bulletin adoption and preemption (US): actuary.info</w:t>
      </w:r>
    </w:p>
    <w:p>
      <w:pPr>
        <w:pStyle w:val="ListParagraph"/>
        <w:numPr>
          <w:ilvl w:val="0"/>
          <w:numId w:val="2"/>
        </w:numPr>
        <w:spacing w:after="80" w:line="276"/>
      </w:pPr>
      <w:r>
        <w:rPr>
          <w:rFonts w:ascii="Arial" w:cs="Arial" w:eastAsia="Arial" w:hAnsi="Arial"/>
          <w:sz w:val="21"/>
          <w:szCs w:val="21"/>
        </w:rPr>
        <w:t xml:space="preserve">Becker’s Payer Issues, seven US state AI health insurance laws in 2026: beckerspayer.com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Valifides Business Plan · Confidential draft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4"/>
      <w:szCs w:val="44"/>
    </w:rPr>
  </w:style>
  <w:style w:type="paragraph" w:styleId="Heading1">
    <w:name w:val="Heading 1"/>
    <w:basedOn w:val="Normal"/>
    <w:next w:val="Normal"/>
    <w:qFormat/>
    <w:pPr>
      <w:outlineLvl w:val="0"/>
    </w:pPr>
    <w:rPr>
      <w:rFonts w:ascii="Arial" w:cs="Arial" w:eastAsia="Arial" w:hAnsi="Arial"/>
      <w:b/>
      <w:bCs/>
      <w:color w:val="1F2937"/>
      <w:sz w:val="30"/>
      <w:szCs w:val="30"/>
    </w:rPr>
  </w:style>
  <w:style w:type="paragraph" w:styleId="Heading2">
    <w:name w:val="Heading 2"/>
    <w:basedOn w:val="Normal"/>
    <w:next w:val="Normal"/>
    <w:qFormat/>
    <w:pPr>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2026-10-01T08:49:55.747Z</dcterms:created>
  <dcterms:modified xsi:type="dcterms:W3CDTF">2026-10-01T08:49:55.748Z</dcterms:modified>
</cp:coreProperties>
</file>

<file path=docProps/custom.xml><?xml version="1.0" encoding="utf-8"?>
<Properties xmlns="http://schemas.openxmlformats.org/officeDocument/2006/custom-properties" xmlns:vt="http://schemas.openxmlformats.org/officeDocument/2006/docPropsVTypes"/>
</file>