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rPr>
        <w:t xml:space="preserve">Valifides: Who We’re Building For</w:t>
      </w:r>
    </w:p>
    <w:p>
      <w:pPr>
        <w:pBdr>
          <w:bottom w:val="single" w:color="BBBBBB" w:sz="6" w:space="6"/>
        </w:pBdr>
        <w:spacing w:after="220"/>
      </w:pPr>
      <w:r>
        <w:rPr>
          <w:rFonts w:ascii="Arial" w:cs="Arial" w:eastAsia="Arial" w:hAnsi="Arial"/>
          <w:color w:val="555555"/>
          <w:sz w:val="21"/>
          <w:szCs w:val="21"/>
        </w:rPr>
        <w:t xml:space="preserve">P&amp;C claims buyer map  ·  1 October 2026</w:t>
      </w:r>
    </w:p>
    <w:p>
      <w:pPr>
        <w:spacing w:after="140" w:line="290"/>
      </w:pPr>
      <w:r>
        <w:rPr>
          <w:rFonts w:ascii="Arial" w:cs="Arial" w:eastAsia="Arial" w:hAnsi="Arial"/>
          <w:b/>
          <w:bCs/>
          <w:sz w:val="21"/>
          <w:szCs w:val="21"/>
        </w:rPr>
        <w:t xml:space="preserve">Short answer: </w:t>
      </w:r>
      <w:r>
        <w:rPr>
          <w:rFonts w:ascii="Arial" w:cs="Arial" w:eastAsia="Arial" w:hAnsi="Arial"/>
          <w:sz w:val="21"/>
          <w:szCs w:val="21"/>
        </w:rPr>
        <w:t xml:space="preserve">you’re selling to insurtech companies, but specifically the ones that sell AI to insurers, not the insurers themselves. “Insurtech” covers two very different buyers, and mixing them up would blur the product.</w:t>
      </w:r>
    </w:p>
    <w:p>
      <w:pPr>
        <w:pStyle w:val="Heading2"/>
        <w:spacing w:after="120" w:before="280"/>
      </w:pPr>
      <w:r>
        <w:rPr>
          <w:rFonts w:ascii="Arial" w:cs="Arial" w:eastAsia="Arial" w:hAnsi="Arial"/>
        </w:rPr>
        <w:t xml:space="preserve">The buyers in P&amp;C claims, in the order to pursue them</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500"/>
        <w:gridCol w:w="2300"/>
        <w:gridCol w:w="3780"/>
        <w:gridCol w:w="2300"/>
      </w:tblGrid>
      <w:tr>
        <w:trPr>
          <w:tblHeader/>
        </w:trPr>
        <w:tc>
          <w:tcPr>
            <w:tcW w:type="dxa" w:w="900"/>
            <w:tcBorders>
              <w:top w:val="single" w:color="C9CDD3" w:sz="4"/>
              <w:left w:val="single" w:color="C9CDD3" w:sz="4"/>
              <w:bottom w:val="single" w:color="C9CDD3" w:sz="4"/>
              <w:right w:val="single" w:color="C9CDD3" w:sz="4"/>
            </w:tcBorders>
            <w:shd w:fill="1F2937" w:color="auto" w:val="clear"/>
            <w:tcMar>
              <w:top w:type="dxa" w:w="80"/>
              <w:left w:type="dxa" w:w="110"/>
              <w:bottom w:type="dxa" w:w="80"/>
              <w:right w:type="dxa" w:w="110"/>
            </w:tcMar>
          </w:tcPr>
          <w:p>
            <w:pPr>
              <w:spacing w:line="260"/>
            </w:pPr>
            <w:r>
              <w:rPr>
                <w:rFonts w:ascii="Arial" w:cs="Arial" w:eastAsia="Arial" w:hAnsi="Arial"/>
                <w:b/>
                <w:bCs/>
                <w:color w:val="FFFFFF"/>
                <w:sz w:val="19"/>
                <w:szCs w:val="19"/>
              </w:rPr>
              <w:t xml:space="preserve">Order</w:t>
            </w:r>
          </w:p>
        </w:tc>
        <w:tc>
          <w:tcPr>
            <w:tcW w:type="dxa" w:w="1900"/>
            <w:tcBorders>
              <w:top w:val="single" w:color="C9CDD3" w:sz="4"/>
              <w:left w:val="single" w:color="C9CDD3" w:sz="4"/>
              <w:bottom w:val="single" w:color="C9CDD3" w:sz="4"/>
              <w:right w:val="single" w:color="C9CDD3" w:sz="4"/>
            </w:tcBorders>
            <w:shd w:fill="1F2937" w:color="auto" w:val="clear"/>
            <w:tcMar>
              <w:top w:type="dxa" w:w="80"/>
              <w:left w:type="dxa" w:w="110"/>
              <w:bottom w:type="dxa" w:w="80"/>
              <w:right w:type="dxa" w:w="110"/>
            </w:tcMar>
          </w:tcPr>
          <w:p>
            <w:pPr>
              <w:spacing w:line="260"/>
            </w:pPr>
            <w:r>
              <w:rPr>
                <w:rFonts w:ascii="Arial" w:cs="Arial" w:eastAsia="Arial" w:hAnsi="Arial"/>
                <w:b/>
                <w:bCs/>
                <w:color w:val="FFFFFF"/>
                <w:sz w:val="19"/>
                <w:szCs w:val="19"/>
              </w:rPr>
              <w:t xml:space="preserve">Buyer</w:t>
            </w:r>
          </w:p>
        </w:tc>
        <w:tc>
          <w:tcPr>
            <w:tcW w:type="dxa" w:w="2500"/>
            <w:tcBorders>
              <w:top w:val="single" w:color="C9CDD3" w:sz="4"/>
              <w:left w:val="single" w:color="C9CDD3" w:sz="4"/>
              <w:bottom w:val="single" w:color="C9CDD3" w:sz="4"/>
              <w:right w:val="single" w:color="C9CDD3" w:sz="4"/>
            </w:tcBorders>
            <w:shd w:fill="1F2937" w:color="auto" w:val="clear"/>
            <w:tcMar>
              <w:top w:type="dxa" w:w="80"/>
              <w:left w:type="dxa" w:w="110"/>
              <w:bottom w:type="dxa" w:w="80"/>
              <w:right w:type="dxa" w:w="110"/>
            </w:tcMar>
          </w:tcPr>
          <w:p>
            <w:pPr>
              <w:spacing w:line="260"/>
            </w:pPr>
            <w:r>
              <w:rPr>
                <w:rFonts w:ascii="Arial" w:cs="Arial" w:eastAsia="Arial" w:hAnsi="Arial"/>
                <w:b/>
                <w:bCs/>
                <w:color w:val="FFFFFF"/>
                <w:sz w:val="19"/>
                <w:szCs w:val="19"/>
              </w:rPr>
              <w:t xml:space="preserve">What they are</w:t>
            </w:r>
          </w:p>
        </w:tc>
        <w:tc>
          <w:tcPr>
            <w:tcW w:type="dxa" w:w="2300"/>
            <w:tcBorders>
              <w:top w:val="single" w:color="C9CDD3" w:sz="4"/>
              <w:left w:val="single" w:color="C9CDD3" w:sz="4"/>
              <w:bottom w:val="single" w:color="C9CDD3" w:sz="4"/>
              <w:right w:val="single" w:color="C9CDD3" w:sz="4"/>
            </w:tcBorders>
            <w:shd w:fill="1F2937" w:color="auto" w:val="clear"/>
            <w:tcMar>
              <w:top w:type="dxa" w:w="80"/>
              <w:left w:type="dxa" w:w="110"/>
              <w:bottom w:type="dxa" w:w="80"/>
              <w:right w:type="dxa" w:w="110"/>
            </w:tcMar>
          </w:tcPr>
          <w:p>
            <w:pPr>
              <w:spacing w:line="260"/>
            </w:pPr>
            <w:r>
              <w:rPr>
                <w:rFonts w:ascii="Arial" w:cs="Arial" w:eastAsia="Arial" w:hAnsi="Arial"/>
                <w:b/>
                <w:bCs/>
                <w:color w:val="FFFFFF"/>
                <w:sz w:val="19"/>
                <w:szCs w:val="19"/>
              </w:rPr>
              <w:t xml:space="preserve">Examples [Likely, check each fits]</w:t>
            </w:r>
          </w:p>
        </w:tc>
        <w:tc>
          <w:tcPr>
            <w:tcW w:type="dxa" w:w="3780"/>
            <w:tcBorders>
              <w:top w:val="single" w:color="C9CDD3" w:sz="4"/>
              <w:left w:val="single" w:color="C9CDD3" w:sz="4"/>
              <w:bottom w:val="single" w:color="C9CDD3" w:sz="4"/>
              <w:right w:val="single" w:color="C9CDD3" w:sz="4"/>
            </w:tcBorders>
            <w:shd w:fill="1F2937" w:color="auto" w:val="clear"/>
            <w:tcMar>
              <w:top w:type="dxa" w:w="80"/>
              <w:left w:type="dxa" w:w="110"/>
              <w:bottom w:type="dxa" w:w="80"/>
              <w:right w:type="dxa" w:w="110"/>
            </w:tcMar>
          </w:tcPr>
          <w:p>
            <w:pPr>
              <w:spacing w:line="260"/>
            </w:pPr>
            <w:r>
              <w:rPr>
                <w:rFonts w:ascii="Arial" w:cs="Arial" w:eastAsia="Arial" w:hAnsi="Arial"/>
                <w:b/>
                <w:bCs/>
                <w:color w:val="FFFFFF"/>
                <w:sz w:val="19"/>
                <w:szCs w:val="19"/>
              </w:rPr>
              <w:t xml:space="preserve">Their pain</w:t>
            </w:r>
          </w:p>
        </w:tc>
        <w:tc>
          <w:tcPr>
            <w:tcW w:type="dxa" w:w="2300"/>
            <w:tcBorders>
              <w:top w:val="single" w:color="C9CDD3" w:sz="4"/>
              <w:left w:val="single" w:color="C9CDD3" w:sz="4"/>
              <w:bottom w:val="single" w:color="C9CDD3" w:sz="4"/>
              <w:right w:val="single" w:color="C9CDD3" w:sz="4"/>
            </w:tcBorders>
            <w:shd w:fill="1F2937" w:color="auto" w:val="clear"/>
            <w:tcMar>
              <w:top w:type="dxa" w:w="80"/>
              <w:left w:type="dxa" w:w="110"/>
              <w:bottom w:type="dxa" w:w="80"/>
              <w:right w:type="dxa" w:w="110"/>
            </w:tcMar>
          </w:tcPr>
          <w:p>
            <w:pPr>
              <w:spacing w:line="260"/>
            </w:pPr>
            <w:r>
              <w:rPr>
                <w:rFonts w:ascii="Arial" w:cs="Arial" w:eastAsia="Arial" w:hAnsi="Arial"/>
                <w:b/>
                <w:bCs/>
                <w:color w:val="FFFFFF"/>
                <w:sz w:val="19"/>
                <w:szCs w:val="19"/>
              </w:rPr>
              <w:t xml:space="preserve">Who signs</w:t>
            </w:r>
          </w:p>
        </w:tc>
      </w:tr>
      <w:tr>
        <w:tc>
          <w:tcPr>
            <w:tcW w:type="dxa" w:w="9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b/>
                <w:bCs/>
                <w:sz w:val="19"/>
                <w:szCs w:val="19"/>
              </w:rPr>
              <w:t xml:space="preserve">1st</w:t>
            </w:r>
          </w:p>
        </w:tc>
        <w:tc>
          <w:tcPr>
            <w:tcW w:type="dxa" w:w="19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b/>
                <w:bCs/>
                <w:sz w:val="19"/>
                <w:szCs w:val="19"/>
              </w:rPr>
              <w:t xml:space="preserve">Claims AI vendors (B2B insurtech)</w:t>
            </w:r>
          </w:p>
        </w:tc>
        <w:tc>
          <w:tcPr>
            <w:tcW w:type="dxa" w:w="25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sz w:val="19"/>
                <w:szCs w:val="19"/>
              </w:rPr>
              <w:t xml:space="preserve">Companies selling AI to insurers: photo damage estimating, fraud scoring, claims automation</w:t>
            </w:r>
          </w:p>
        </w:tc>
        <w:tc>
          <w:tcPr>
            <w:tcW w:type="dxa" w:w="23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sz w:val="19"/>
                <w:szCs w:val="19"/>
              </w:rPr>
              <w:t xml:space="preserve">Tractable, Shift Technology, Five Sigma, Snapsheet, CLARA Analytics</w:t>
            </w:r>
          </w:p>
        </w:tc>
        <w:tc>
          <w:tcPr>
            <w:tcW w:type="dxa" w:w="378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sz w:val="19"/>
                <w:szCs w:val="19"/>
              </w:rPr>
              <w:t xml:space="preserve">Under the NAIC bulletin, insurers must oversee vendor AI, so every deal brings questionnaires and audit demands. Valifides is proof built into their product that helps them close deals.</w:t>
            </w:r>
          </w:p>
        </w:tc>
        <w:tc>
          <w:tcPr>
            <w:tcW w:type="dxa" w:w="23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sz w:val="19"/>
                <w:szCs w:val="19"/>
              </w:rPr>
              <w:t xml:space="preserve">CEO or founder, Head of Product, CTO</w:t>
            </w:r>
          </w:p>
        </w:tc>
      </w:tr>
      <w:tr>
        <w:tc>
          <w:tcPr>
            <w:tcW w:type="dxa" w:w="9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b/>
                <w:bCs/>
                <w:sz w:val="19"/>
                <w:szCs w:val="19"/>
              </w:rPr>
              <w:t xml:space="preserve">2nd</w:t>
            </w:r>
          </w:p>
        </w:tc>
        <w:tc>
          <w:tcPr>
            <w:tcW w:type="dxa" w:w="19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b/>
                <w:bCs/>
                <w:sz w:val="19"/>
                <w:szCs w:val="19"/>
              </w:rPr>
              <w:t xml:space="preserve">Insurtech carriers and MGAs</w:t>
            </w:r>
          </w:p>
        </w:tc>
        <w:tc>
          <w:tcPr>
            <w:tcW w:type="dxa" w:w="25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sz w:val="19"/>
                <w:szCs w:val="19"/>
              </w:rPr>
              <w:t xml:space="preserve">Digital-first insurers, and agencies that underwrite on an insurer’s behalf, running their own automated claims</w:t>
            </w:r>
          </w:p>
        </w:tc>
        <w:tc>
          <w:tcPr>
            <w:tcW w:type="dxa" w:w="23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sz w:val="19"/>
                <w:szCs w:val="19"/>
              </w:rPr>
              <w:t xml:space="preserve">Lemonade, Root, Hippo, Kin</w:t>
            </w:r>
          </w:p>
        </w:tc>
        <w:tc>
          <w:tcPr>
            <w:tcW w:type="dxa" w:w="378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sz w:val="19"/>
                <w:szCs w:val="19"/>
              </w:rPr>
              <w:t xml:space="preserve">They make AI-driven claim decisions themselves and face state examiners and bad-faith lawsuits directly</w:t>
            </w:r>
          </w:p>
        </w:tc>
        <w:tc>
          <w:tcPr>
            <w:tcW w:type="dxa" w:w="23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sz w:val="19"/>
                <w:szCs w:val="19"/>
              </w:rPr>
              <w:t xml:space="preserve">Chief Claims Officer, VP Claims, Chief Compliance Officer</w:t>
            </w:r>
          </w:p>
        </w:tc>
      </w:tr>
      <w:tr>
        <w:tc>
          <w:tcPr>
            <w:tcW w:type="dxa" w:w="9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b/>
                <w:bCs/>
                <w:sz w:val="19"/>
                <w:szCs w:val="19"/>
              </w:rPr>
              <w:t xml:space="preserve">Later</w:t>
            </w:r>
          </w:p>
        </w:tc>
        <w:tc>
          <w:tcPr>
            <w:tcW w:type="dxa" w:w="19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b/>
                <w:bCs/>
                <w:sz w:val="19"/>
                <w:szCs w:val="19"/>
              </w:rPr>
              <w:t xml:space="preserve">Traditional carriers and claims administrators</w:t>
            </w:r>
          </w:p>
        </w:tc>
        <w:tc>
          <w:tcPr>
            <w:tcW w:type="dxa" w:w="25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sz w:val="19"/>
                <w:szCs w:val="19"/>
              </w:rPr>
              <w:t xml:space="preserve">Large incumbent insurers, and third-party administrators that handle claims for insurers</w:t>
            </w:r>
          </w:p>
        </w:tc>
        <w:tc>
          <w:tcPr>
            <w:tcW w:type="dxa" w:w="23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sz w:val="19"/>
                <w:szCs w:val="19"/>
              </w:rPr>
              <w:t xml:space="preserve">(large insurers; claims administrators)</w:t>
            </w:r>
          </w:p>
        </w:tc>
        <w:tc>
          <w:tcPr>
            <w:tcW w:type="dxa" w:w="378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sz w:val="19"/>
                <w:szCs w:val="19"/>
              </w:rPr>
              <w:t xml:space="preserve">The same rules, with bigger budgets and slower decisions</w:t>
            </w:r>
          </w:p>
        </w:tc>
        <w:tc>
          <w:tcPr>
            <w:tcW w:type="dxa" w:w="2300"/>
            <w:tcBorders>
              <w:top w:val="single" w:color="C9CDD3" w:sz="4"/>
              <w:left w:val="single" w:color="C9CDD3" w:sz="4"/>
              <w:bottom w:val="single" w:color="C9CDD3" w:sz="4"/>
              <w:right w:val="single" w:color="C9CDD3" w:sz="4"/>
            </w:tcBorders>
            <w:tcMar>
              <w:top w:type="dxa" w:w="80"/>
              <w:left w:type="dxa" w:w="110"/>
              <w:bottom w:type="dxa" w:w="80"/>
              <w:right w:type="dxa" w:w="110"/>
            </w:tcMar>
          </w:tcPr>
          <w:p>
            <w:pPr>
              <w:spacing w:line="260"/>
            </w:pPr>
            <w:r>
              <w:rPr>
                <w:rFonts w:ascii="Arial" w:cs="Arial" w:eastAsia="Arial" w:hAnsi="Arial"/>
                <w:sz w:val="19"/>
                <w:szCs w:val="19"/>
              </w:rPr>
              <w:t xml:space="preserve">Chief Claims Officer, Chief Risk Officer, AI governance lead; procurement takes 9–18 months</w:t>
            </w:r>
          </w:p>
        </w:tc>
      </w:tr>
    </w:tbl>
    <w:p>
      <w:pPr>
        <w:pStyle w:val="Heading2"/>
        <w:spacing w:after="120" w:before="280"/>
      </w:pPr>
      <w:r>
        <w:rPr>
          <w:rFonts w:ascii="Arial" w:cs="Arial" w:eastAsia="Arial" w:hAnsi="Arial"/>
        </w:rPr>
        <w:t xml:space="preserve">Why vendors come first</w:t>
      </w:r>
    </w:p>
    <w:p>
      <w:pPr>
        <w:pStyle w:val="ListParagraph"/>
        <w:numPr>
          <w:ilvl w:val="0"/>
          <w:numId w:val="2"/>
        </w:numPr>
        <w:spacing w:after="90" w:line="290"/>
      </w:pPr>
      <w:r>
        <w:rPr>
          <w:rFonts w:ascii="Arial" w:cs="Arial" w:eastAsia="Arial" w:hAnsi="Arial"/>
          <w:b/>
          <w:bCs/>
          <w:sz w:val="21"/>
          <w:szCs w:val="21"/>
        </w:rPr>
        <w:t xml:space="preserve">[Likely] They buy faster. </w:t>
      </w:r>
      <w:r>
        <w:rPr>
          <w:rFonts w:ascii="Arial" w:cs="Arial" w:eastAsia="Arial" w:hAnsi="Arial"/>
          <w:sz w:val="21"/>
          <w:szCs w:val="21"/>
        </w:rPr>
        <w:t xml:space="preserve">Startups decide in weeks, and a technical founder can integrate an API without a procurement committee.</w:t>
      </w:r>
    </w:p>
    <w:p>
      <w:pPr>
        <w:pStyle w:val="ListParagraph"/>
        <w:numPr>
          <w:ilvl w:val="0"/>
          <w:numId w:val="2"/>
        </w:numPr>
        <w:spacing w:after="90" w:line="290"/>
      </w:pPr>
      <w:r>
        <w:rPr>
          <w:rFonts w:ascii="Arial" w:cs="Arial" w:eastAsia="Arial" w:hAnsi="Arial"/>
          <w:b/>
          <w:bCs/>
          <w:sz w:val="21"/>
          <w:szCs w:val="21"/>
        </w:rPr>
        <w:t xml:space="preserve">The pain is tied to their revenue. </w:t>
      </w:r>
      <w:r>
        <w:rPr>
          <w:rFonts w:ascii="Arial" w:cs="Arial" w:eastAsia="Arial" w:hAnsi="Arial"/>
          <w:sz w:val="21"/>
          <w:szCs w:val="21"/>
        </w:rPr>
        <w:t xml:space="preserve">Failing an insurer’s AI due-diligence review means losing the deal, so Valifides pays for itself with one closed contract.</w:t>
      </w:r>
    </w:p>
    <w:p>
      <w:pPr>
        <w:pStyle w:val="ListParagraph"/>
        <w:numPr>
          <w:ilvl w:val="0"/>
          <w:numId w:val="2"/>
        </w:numPr>
        <w:spacing w:after="90" w:line="290"/>
      </w:pPr>
      <w:r>
        <w:rPr>
          <w:rFonts w:ascii="Arial" w:cs="Arial" w:eastAsia="Arial" w:hAnsi="Arial"/>
          <w:b/>
          <w:bCs/>
          <w:sz w:val="21"/>
          <w:szCs w:val="21"/>
        </w:rPr>
        <w:t xml:space="preserve">One integration reaches many insurers. </w:t>
      </w:r>
      <w:r>
        <w:rPr>
          <w:rFonts w:ascii="Arial" w:cs="Arial" w:eastAsia="Arial" w:hAnsi="Arial"/>
          <w:sz w:val="21"/>
          <w:szCs w:val="21"/>
        </w:rPr>
        <w:t xml:space="preserve">If a claims AI vendor builds Valifides in, every insurer using that vendor gets the evidence. Selling to vendors is your distribution.</w:t>
      </w:r>
    </w:p>
    <w:p>
      <w:pPr>
        <w:pStyle w:val="ListParagraph"/>
        <w:numPr>
          <w:ilvl w:val="0"/>
          <w:numId w:val="2"/>
        </w:numPr>
        <w:spacing w:after="90" w:line="290"/>
      </w:pPr>
      <w:r>
        <w:rPr>
          <w:rFonts w:ascii="Arial" w:cs="Arial" w:eastAsia="Arial" w:hAnsi="Arial"/>
          <w:b/>
          <w:bCs/>
          <w:sz w:val="21"/>
          <w:szCs w:val="21"/>
        </w:rPr>
        <w:t xml:space="preserve">It fits your constraints. </w:t>
      </w:r>
      <w:r>
        <w:rPr>
          <w:rFonts w:ascii="Arial" w:cs="Arial" w:eastAsia="Arial" w:hAnsi="Arial"/>
          <w:sz w:val="21"/>
          <w:szCs w:val="21"/>
        </w:rPr>
        <w:t xml:space="preserve">Remote, technical sales from Hyderabad work better with startup founders than with insurers’ procurement teams.</w:t>
      </w:r>
    </w:p>
    <w:p>
      <w:pPr>
        <w:pStyle w:val="Heading2"/>
        <w:spacing w:after="120" w:before="280"/>
      </w:pPr>
      <w:r>
        <w:rPr>
          <w:rFonts w:ascii="Arial" w:cs="Arial" w:eastAsia="Arial" w:hAnsi="Arial"/>
        </w:rPr>
        <w:t xml:space="preserve">The risks with this buyer</w:t>
      </w:r>
    </w:p>
    <w:p>
      <w:pPr>
        <w:pStyle w:val="ListParagraph"/>
        <w:numPr>
          <w:ilvl w:val="0"/>
          <w:numId w:val="2"/>
        </w:numPr>
        <w:spacing w:after="90" w:line="290"/>
      </w:pPr>
      <w:r>
        <w:rPr>
          <w:rFonts w:ascii="Arial" w:cs="Arial" w:eastAsia="Arial" w:hAnsi="Arial"/>
          <w:b/>
          <w:bCs/>
          <w:sz w:val="21"/>
          <w:szCs w:val="21"/>
        </w:rPr>
        <w:t xml:space="preserve">[Likely] </w:t>
      </w:r>
      <w:r>
        <w:rPr>
          <w:rFonts w:ascii="Arial" w:cs="Arial" w:eastAsia="Arial" w:hAnsi="Arial"/>
          <w:sz w:val="21"/>
          <w:szCs w:val="21"/>
        </w:rPr>
        <w:t xml:space="preserve">A vendor may decide to build a basic version in-house. The answer has to be the content: rules for every state, kept up to date and reviewed by a lawyer, which a vendor won’t want to maintain.</w:t>
      </w:r>
    </w:p>
    <w:p>
      <w:pPr>
        <w:pStyle w:val="ListParagraph"/>
        <w:numPr>
          <w:ilvl w:val="0"/>
          <w:numId w:val="2"/>
        </w:numPr>
        <w:spacing w:after="90" w:line="290"/>
      </w:pPr>
      <w:r>
        <w:rPr>
          <w:rFonts w:ascii="Arial" w:cs="Arial" w:eastAsia="Arial" w:hAnsi="Arial"/>
          <w:b/>
          <w:bCs/>
          <w:sz w:val="21"/>
          <w:szCs w:val="21"/>
        </w:rPr>
        <w:t xml:space="preserve">[Guessing] </w:t>
      </w:r>
      <w:r>
        <w:rPr>
          <w:rFonts w:ascii="Arial" w:cs="Arial" w:eastAsia="Arial" w:hAnsi="Arial"/>
          <w:sz w:val="21"/>
          <w:szCs w:val="21"/>
        </w:rPr>
        <w:t xml:space="preserve">It isn’t yet known how much insurers are actually pushing vendors on AI. That’s the first question for the validation calls: </w:t>
      </w:r>
      <w:r>
        <w:rPr>
          <w:rFonts w:ascii="Arial" w:cs="Arial" w:eastAsia="Arial" w:hAnsi="Arial"/>
          <w:i/>
          <w:iCs/>
          <w:sz w:val="21"/>
          <w:szCs w:val="21"/>
        </w:rPr>
        <w:t xml:space="preserve">“In your last insurer deal, what did they ask you to prove about your AI?”</w:t>
      </w:r>
    </w:p>
    <w:p>
      <w:pPr>
        <w:pStyle w:val="Heading2"/>
        <w:spacing w:after="120" w:before="280"/>
      </w:pPr>
      <w:r>
        <w:rPr>
          <w:rFonts w:ascii="Arial" w:cs="Arial" w:eastAsia="Arial" w:hAnsi="Arial"/>
        </w:rPr>
        <w:t xml:space="preserve">Decision</w:t>
      </w:r>
    </w:p>
    <w:p>
      <w:pPr>
        <w:spacing w:after="140" w:line="290"/>
      </w:pPr>
      <w:r>
        <w:rPr>
          <w:rFonts w:ascii="Arial" w:cs="Arial" w:eastAsia="Arial" w:hAnsi="Arial"/>
          <w:sz w:val="21"/>
          <w:szCs w:val="21"/>
        </w:rPr>
        <w:t xml:space="preserve">Build for </w:t>
      </w:r>
      <w:r>
        <w:rPr>
          <w:rFonts w:ascii="Arial" w:cs="Arial" w:eastAsia="Arial" w:hAnsi="Arial"/>
          <w:b/>
          <w:bCs/>
          <w:sz w:val="21"/>
          <w:szCs w:val="21"/>
        </w:rPr>
        <w:t xml:space="preserve">claims AI vendors first</w:t>
      </w:r>
      <w:r>
        <w:rPr>
          <w:rFonts w:ascii="Arial" w:cs="Arial" w:eastAsia="Arial" w:hAnsi="Arial"/>
          <w:sz w:val="21"/>
          <w:szCs w:val="21"/>
        </w:rPr>
        <w:t xml:space="preserve">, using rules and screens that insurtech insurers can use unchanged when Valifides moves to them.</w:t>
      </w:r>
    </w:p>
    <w:p>
      <w:pPr>
        <w:spacing w:after="140" w:line="290"/>
      </w:pPr>
      <w:r>
        <w:rPr>
          <w:rFonts w:ascii="Arial" w:cs="Arial" w:eastAsia="Arial" w:hAnsi="Arial"/>
          <w:b/>
          <w:bCs/>
          <w:sz w:val="21"/>
          <w:szCs w:val="21"/>
        </w:rPr>
        <w:t xml:space="preserve">Still to confirm: </w:t>
      </w:r>
      <w:r>
        <w:rPr>
          <w:rFonts w:ascii="Arial" w:cs="Arial" w:eastAsia="Arial" w:hAnsi="Arial"/>
          <w:sz w:val="21"/>
          <w:szCs w:val="21"/>
        </w:rPr>
        <w:t xml:space="preserve">Valifides trademark and domain check; a </w:t>
      </w:r>
      <w:r>
        <w:rPr>
          <w:rFonts w:ascii="Consolas" w:cs="Consolas" w:eastAsia="Consolas" w:hAnsi="Consolas"/>
          <w:sz w:val="20"/>
          <w:szCs w:val="20"/>
        </w:rPr>
        <w:t xml:space="preserve">valifides</w:t>
      </w:r>
      <w:r>
        <w:rPr>
          <w:rFonts w:ascii="Arial" w:cs="Arial" w:eastAsia="Arial" w:hAnsi="Arial"/>
          <w:sz w:val="21"/>
          <w:szCs w:val="21"/>
        </w:rPr>
        <w:t xml:space="preserve"> branch in the existing repo.</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2937"/>
      <w:sz w:val="40"/>
      <w:szCs w:val="40"/>
    </w:rPr>
  </w:style>
  <w:style w:type="paragraph" w:styleId="Heading2">
    <w:name w:val="Heading 2"/>
    <w:basedOn w:val="Normal"/>
    <w:next w:val="Normal"/>
    <w:qFormat/>
    <w:pPr>
      <w:outlineLvl w:val="1"/>
    </w:pPr>
    <w:rPr>
      <w:rFonts w:ascii="Arial" w:cs="Arial" w:eastAsia="Arial" w:hAnsi="Arial"/>
      <w:b/>
      <w:bCs/>
      <w:color w:val="B4530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2026-10-01T07:25:29.003Z</dcterms:created>
  <dcterms:modified xsi:type="dcterms:W3CDTF">2026-10-01T07:25:29.004Z</dcterms:modified>
</cp:coreProperties>
</file>

<file path=docProps/custom.xml><?xml version="1.0" encoding="utf-8"?>
<Properties xmlns="http://schemas.openxmlformats.org/officeDocument/2006/custom-properties" xmlns:vt="http://schemas.openxmlformats.org/officeDocument/2006/docPropsVTypes"/>
</file>