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Arial" w:cs="Arial" w:eastAsia="Arial" w:hAnsi="Arial"/>
        </w:rPr>
        <w:t xml:space="preserve">Valifides Go-to-Market Strategy</w:t>
      </w:r>
    </w:p>
    <w:p>
      <w:pPr>
        <w:pBdr>
          <w:bottom w:val="single" w:color="BBBBBB" w:sz="6" w:space="6"/>
        </w:pBdr>
        <w:spacing w:after="240"/>
      </w:pPr>
      <w:r>
        <w:rPr>
          <w:rFonts w:ascii="Arial" w:cs="Arial" w:eastAsia="Arial" w:hAnsi="Arial"/>
          <w:color w:val="555555"/>
          <w:sz w:val="20"/>
          <w:szCs w:val="20"/>
        </w:rPr>
        <w:t xml:space="preserve">India first (insurance claims), US next  ·  Draft v0.1, 1 October 2026</w:t>
      </w:r>
    </w:p>
    <w:p>
      <w:pPr>
        <w:pBdr>
          <w:left w:val="single" w:color="D97706" w:sz="18" w:space="8"/>
        </w:pBdr>
        <w:shd w:fill="FEF3C7" w:color="auto" w:val="clear"/>
        <w:spacing w:after="160" w:before="60" w:line="276"/>
        <w:ind w:left="120" w:right="120"/>
      </w:pPr>
      <w:r>
        <w:rPr>
          <w:rFonts w:ascii="Arial" w:cs="Arial" w:eastAsia="Arial" w:hAnsi="Arial"/>
          <w:b/>
          <w:bCs/>
          <w:sz w:val="21"/>
          <w:szCs w:val="21"/>
        </w:rPr>
        <w:t xml:space="preserve">Uncomfortable truth first:</w:t>
      </w:r>
      <w:r>
        <w:rPr>
          <w:rFonts w:ascii="Arial" w:cs="Arial" w:eastAsia="Arial" w:hAnsi="Arial"/>
          <w:sz w:val="21"/>
          <w:szCs w:val="21"/>
        </w:rPr>
        <w:t xml:space="preserve"> nothing here is validated yet. The buyer, the price and the message are hypotheses for the next 6 weeks of conversations. The plan is built to find out quickly whether they are wrong.</w:t>
      </w:r>
    </w:p>
    <w:p>
      <w:pPr>
        <w:pStyle w:val="Heading1"/>
        <w:spacing w:after="140" w:before="320"/>
      </w:pPr>
      <w:r>
        <w:rPr>
          <w:rFonts w:ascii="Arial" w:cs="Arial" w:eastAsia="Arial" w:hAnsi="Arial"/>
        </w:rPr>
        <w:t xml:space="preserve">1. GTM thesis</w:t>
      </w:r>
    </w:p>
    <w:p>
      <w:pPr>
        <w:spacing w:after="140" w:line="288"/>
      </w:pPr>
      <w:r>
        <w:rPr>
          <w:rFonts w:ascii="Arial" w:cs="Arial" w:eastAsia="Arial" w:hAnsi="Arial"/>
          <w:sz w:val="21"/>
          <w:szCs w:val="21"/>
        </w:rPr>
        <w:t xml:space="preserve">Indian insurers are about to be asked by IRDAI to show how they govern AI in claims, and DPDP adds data obligations from 13 May 2027 [Likely]. Valifides enters as the fastest way to answer that question with evidence: a paid assessment or a 60-day shadow pilot that shows what would have been caught in the insurer’s own past decisions. Founder-led sales; no paid marketing until a repeatable message exists.</w:t>
      </w:r>
    </w:p>
    <w:p>
      <w:pPr>
        <w:pStyle w:val="Heading1"/>
        <w:spacing w:after="140" w:before="320"/>
      </w:pPr>
      <w:r>
        <w:rPr>
          <w:rFonts w:ascii="Arial" w:cs="Arial" w:eastAsia="Arial" w:hAnsi="Arial"/>
        </w:rPr>
        <w:t xml:space="preserve">2. Ideal customer profile (India)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61"/>
        <w:gridCol w:w="2654"/>
        <w:gridCol w:w="2654"/>
        <w:gridCol w:w="2657"/>
      </w:tblGrid>
      <w:tr>
        <w:trPr>
          <w:tblHeader/>
        </w:trPr>
        <w:tc>
          <w:tcPr>
            <w:tcW w:type="dxa" w:w="1061"/>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Tier</w:t>
            </w:r>
          </w:p>
        </w:tc>
        <w:tc>
          <w:tcPr>
            <w:tcW w:type="dxa" w:w="2654"/>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Who</w:t>
            </w:r>
          </w:p>
        </w:tc>
        <w:tc>
          <w:tcPr>
            <w:tcW w:type="dxa" w:w="2654"/>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Why first / later</w:t>
            </w:r>
          </w:p>
        </w:tc>
        <w:tc>
          <w:tcPr>
            <w:tcW w:type="dxa" w:w="2657"/>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Candidates to verify</w:t>
            </w:r>
          </w:p>
        </w:tc>
      </w:tr>
      <w:tr>
        <w:tc>
          <w:tcPr>
            <w:tcW w:type="dxa" w:w="106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A (now)</w:t>
            </w:r>
          </w:p>
        </w:tc>
        <w:tc>
          <w:tcPr>
            <w:tcW w:type="dxa" w:w="265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Digital-first private general insurers and standalone health insurers using AI in claims</w:t>
            </w:r>
          </w:p>
        </w:tc>
        <w:tc>
          <w:tcPr>
            <w:tcW w:type="dxa" w:w="265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Faster decisions; AI already in claims; most exposed to an AI framework</w:t>
            </w:r>
          </w:p>
        </w:tc>
        <w:tc>
          <w:tcPr>
            <w:tcW w:type="dxa" w:w="2657"/>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Acko, Go Digit, Navi General, Care Health, Star Health [Likely fits; verify]</w:t>
            </w:r>
          </w:p>
        </w:tc>
      </w:tr>
      <w:tr>
        <w:tc>
          <w:tcPr>
            <w:tcW w:type="dxa" w:w="106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A (now)</w:t>
            </w:r>
          </w:p>
        </w:tc>
        <w:tc>
          <w:tcPr>
            <w:tcW w:type="dxa" w:w="265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Third-party administrators (TPAs) processing health claims for insurers</w:t>
            </w:r>
          </w:p>
        </w:tc>
        <w:tc>
          <w:tcPr>
            <w:tcW w:type="dxa" w:w="265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Handle cashless timelines daily; one TPA serves many insurers</w:t>
            </w:r>
          </w:p>
        </w:tc>
        <w:tc>
          <w:tcPr>
            <w:tcW w:type="dxa" w:w="2657"/>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Medi Assist and other IRDAI-licensed TPAs [verify]</w:t>
            </w:r>
          </w:p>
        </w:tc>
      </w:tr>
      <w:tr>
        <w:tc>
          <w:tcPr>
            <w:tcW w:type="dxa" w:w="106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B (next)</w:t>
            </w:r>
          </w:p>
        </w:tc>
        <w:tc>
          <w:tcPr>
            <w:tcW w:type="dxa" w:w="265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Large private general insurers</w:t>
            </w:r>
          </w:p>
        </w:tc>
        <w:tc>
          <w:tcPr>
            <w:tcW w:type="dxa" w:w="265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Bigger budgets, slower procurement</w:t>
            </w:r>
          </w:p>
        </w:tc>
        <w:tc>
          <w:tcPr>
            <w:tcW w:type="dxa" w:w="2657"/>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ICICI Lombard, HDFC ERGO, Bajaj General [verify]</w:t>
            </w:r>
          </w:p>
        </w:tc>
      </w:tr>
      <w:tr>
        <w:tc>
          <w:tcPr>
            <w:tcW w:type="dxa" w:w="106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B (next)</w:t>
            </w:r>
          </w:p>
        </w:tc>
        <w:tc>
          <w:tcPr>
            <w:tcW w:type="dxa" w:w="265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Indian claims-AI and insurtech vendors selling to insurers</w:t>
            </w:r>
          </w:p>
        </w:tc>
        <w:tc>
          <w:tcPr>
            <w:tcW w:type="dxa" w:w="265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Need proof of oversight to win insurer deals; Valifides built into their product</w:t>
            </w:r>
          </w:p>
        </w:tc>
        <w:tc>
          <w:tcPr>
            <w:tcW w:type="dxa" w:w="2657"/>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To be listed during research</w:t>
            </w:r>
          </w:p>
        </w:tc>
      </w:tr>
      <w:tr>
        <w:tc>
          <w:tcPr>
            <w:tcW w:type="dxa" w:w="106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C (later)</w:t>
            </w:r>
          </w:p>
        </w:tc>
        <w:tc>
          <w:tcPr>
            <w:tcW w:type="dxa" w:w="265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Public-sector general insurers</w:t>
            </w:r>
          </w:p>
        </w:tc>
        <w:tc>
          <w:tcPr>
            <w:tcW w:type="dxa" w:w="265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Very long cycles; tender-driven</w:t>
            </w:r>
          </w:p>
        </w:tc>
        <w:tc>
          <w:tcPr>
            <w:tcW w:type="dxa" w:w="2657"/>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w:t>
            </w:r>
          </w:p>
        </w:tc>
      </w:tr>
    </w:tbl>
    <w:p>
      <w:pPr>
        <w:spacing w:after="120"/>
      </w:pPr>
    </w:p>
    <w:p>
      <w:pPr>
        <w:spacing w:after="140" w:line="288"/>
      </w:pPr>
      <w:r>
        <w:rPr>
          <w:rFonts w:ascii="Arial" w:cs="Arial" w:eastAsia="Arial" w:hAnsi="Arial"/>
          <w:b/>
          <w:bCs/>
          <w:sz w:val="21"/>
          <w:szCs w:val="21"/>
        </w:rPr>
        <w:t xml:space="preserve">Qualifying signals:</w:t>
      </w:r>
      <w:r>
        <w:rPr>
          <w:rFonts w:ascii="Arial" w:cs="Arial" w:eastAsia="Arial" w:hAnsi="Arial"/>
          <w:sz w:val="21"/>
          <w:szCs w:val="21"/>
        </w:rPr>
        <w:t xml:space="preserve"> uses AI or automation in claims triage, fraud or document review; has had IRDAI inspection findings or rising grievances; has a named compliance or AI governance owner; is preparing for DPDP.</w:t>
      </w:r>
    </w:p>
    <w:p>
      <w:pPr>
        <w:pStyle w:val="Heading1"/>
        <w:spacing w:after="140" w:before="320"/>
      </w:pPr>
      <w:r>
        <w:rPr>
          <w:rFonts w:ascii="Arial" w:cs="Arial" w:eastAsia="Arial" w:hAnsi="Arial"/>
        </w:rPr>
        <w:t xml:space="preserve">3. Buyer personas and messages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934"/>
        <w:gridCol w:w="3223"/>
        <w:gridCol w:w="2580"/>
      </w:tblGrid>
      <w:tr>
        <w:trPr>
          <w:tblHeader/>
        </w:trPr>
        <w:tc>
          <w:tcPr>
            <w:tcW w:type="dxa" w:w="1289"/>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Persona</w:t>
            </w:r>
          </w:p>
        </w:tc>
        <w:tc>
          <w:tcPr>
            <w:tcW w:type="dxa" w:w="1934"/>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What they care about</w:t>
            </w:r>
          </w:p>
        </w:tc>
        <w:tc>
          <w:tcPr>
            <w:tcW w:type="dxa" w:w="3223"/>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Message</w:t>
            </w:r>
          </w:p>
        </w:tc>
        <w:tc>
          <w:tcPr>
            <w:tcW w:type="dxa" w:w="2580"/>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Proof to show</w:t>
            </w:r>
          </w:p>
        </w:tc>
      </w:tr>
      <w:tr>
        <w:tc>
          <w:tcPr>
            <w:tcW w:type="dxa" w:w="1289"/>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Chief Claims Officer</w:t>
            </w:r>
          </w:p>
        </w:tc>
        <w:tc>
          <w:tcPr>
            <w:tcW w:type="dxa" w:w="193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Turnaround times, grievances, ombudsman cases</w:t>
            </w:r>
          </w:p>
        </w:tc>
        <w:tc>
          <w:tcPr>
            <w:tcW w:type="dxa" w:w="3223"/>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See every claim that would breach an IRDAI deadline or be denied by AI alone, before it happens.</w:t>
            </w:r>
          </w:p>
        </w:tc>
        <w:tc>
          <w:tcPr>
            <w:tcW w:type="dxa" w:w="2580"/>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Shadow Replay on their data; deadline findings; penal interest found</w:t>
            </w:r>
          </w:p>
        </w:tc>
      </w:tr>
      <w:tr>
        <w:tc>
          <w:tcPr>
            <w:tcW w:type="dxa" w:w="1289"/>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Chief Compliance Officer / CRO</w:t>
            </w:r>
          </w:p>
        </w:tc>
        <w:tc>
          <w:tcPr>
            <w:tcW w:type="dxa" w:w="193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Inspection readiness, regulatory exposure</w:t>
            </w:r>
          </w:p>
        </w:tc>
        <w:tc>
          <w:tcPr>
            <w:tcW w:type="dxa" w:w="3223"/>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Decision-level evidence for IRDAI, built before the AI framework lands.</w:t>
            </w:r>
          </w:p>
        </w:tc>
        <w:tc>
          <w:tcPr>
            <w:tcW w:type="dxa" w:w="2580"/>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Evidence Log with Verify; Rule Pack with sources</w:t>
            </w:r>
          </w:p>
        </w:tc>
      </w:tr>
      <w:tr>
        <w:tc>
          <w:tcPr>
            <w:tcW w:type="dxa" w:w="1289"/>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Head of AI / data science</w:t>
            </w:r>
          </w:p>
        </w:tc>
        <w:tc>
          <w:tcPr>
            <w:tcW w:type="dxa" w:w="193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Shipping models without being blocked</w:t>
            </w:r>
          </w:p>
        </w:tc>
        <w:tc>
          <w:tcPr>
            <w:tcW w:type="dxa" w:w="3223"/>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One API call, no retraining, no added latency; your model version recorded automatically.</w:t>
            </w:r>
          </w:p>
        </w:tc>
        <w:tc>
          <w:tcPr>
            <w:tcW w:type="dxa" w:w="2580"/>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Decision Gateway; API spec; 0.005 ms engine time</w:t>
            </w:r>
          </w:p>
        </w:tc>
      </w:tr>
      <w:tr>
        <w:tc>
          <w:tcPr>
            <w:tcW w:type="dxa" w:w="1289"/>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CTO / CISO</w:t>
            </w:r>
          </w:p>
        </w:tc>
        <w:tc>
          <w:tcPr>
            <w:tcW w:type="dxa" w:w="193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Security, data residency</w:t>
            </w:r>
          </w:p>
        </w:tc>
        <w:tc>
          <w:tcPr>
            <w:tcW w:type="dxa" w:w="3223"/>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Runs in your cloud in India; no policyholder data leaves.</w:t>
            </w:r>
          </w:p>
        </w:tc>
        <w:tc>
          <w:tcPr>
            <w:tcW w:type="dxa" w:w="2580"/>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Architecture note (v0.2); deployment plan</w:t>
            </w:r>
          </w:p>
        </w:tc>
      </w:tr>
    </w:tbl>
    <w:p>
      <w:pPr>
        <w:spacing w:after="120"/>
      </w:pPr>
    </w:p>
    <w:p>
      <w:pPr>
        <w:pStyle w:val="Heading2"/>
        <w:spacing w:after="100" w:before="220"/>
      </w:pPr>
      <w:r>
        <w:rPr>
          <w:rFonts w:ascii="Arial" w:cs="Arial" w:eastAsia="Arial" w:hAnsi="Arial"/>
        </w:rPr>
        <w:t xml:space="preserve">Positioning statement</w:t>
      </w:r>
    </w:p>
    <w:p>
      <w:pPr>
        <w:shd w:fill="F3F4F6" w:color="auto" w:val="clear"/>
        <w:spacing w:after="160" w:before="60" w:line="276"/>
        <w:ind w:left="240" w:right="240"/>
      </w:pPr>
      <w:r>
        <w:rPr>
          <w:rFonts w:ascii="Arial" w:cs="Arial" w:eastAsia="Arial" w:hAnsi="Arial"/>
          <w:sz w:val="21"/>
          <w:szCs w:val="21"/>
        </w:rPr>
        <w:t xml:space="preserve">For Indian insurers and TPAs using AI in claims, Valifides is the decision guard that checks every AI-influenced claim decision against IRDAI and DPDP rules before it takes effect, and keeps evidence that holds up. Unlike AI governance platforms that document policies or monitor models afterwards, Valifides acts at the moment of decision and proves it.</w:t>
      </w:r>
    </w:p>
    <w:p>
      <w:pPr>
        <w:pStyle w:val="Heading2"/>
        <w:spacing w:after="100" w:before="220"/>
      </w:pPr>
      <w:r>
        <w:rPr>
          <w:rFonts w:ascii="Arial" w:cs="Arial" w:eastAsia="Arial" w:hAnsi="Arial"/>
        </w:rPr>
        <w:t xml:space="preserve">Tagline</w:t>
      </w:r>
    </w:p>
    <w:p>
      <w:pPr>
        <w:spacing w:after="140" w:line="288"/>
      </w:pPr>
      <w:r>
        <w:rPr>
          <w:rFonts w:ascii="Arial" w:cs="Arial" w:eastAsia="Arial" w:hAnsi="Arial"/>
          <w:b/>
          <w:bCs/>
          <w:sz w:val="21"/>
          <w:szCs w:val="21"/>
        </w:rPr>
        <w:t xml:space="preserve">Proof that no claim was denied by AI alone.</w:t>
      </w:r>
    </w:p>
    <w:p>
      <w:pPr>
        <w:pStyle w:val="Heading1"/>
        <w:spacing w:after="140" w:before="320"/>
      </w:pPr>
      <w:r>
        <w:rPr>
          <w:rFonts w:ascii="Arial" w:cs="Arial" w:eastAsia="Arial" w:hAnsi="Arial"/>
        </w:rPr>
        <w:t xml:space="preserve">4. Offers and pricing [Guessing]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34"/>
        <w:gridCol w:w="3868"/>
        <w:gridCol w:w="1934"/>
        <w:gridCol w:w="1290"/>
      </w:tblGrid>
      <w:tr>
        <w:trPr>
          <w:tblHeader/>
        </w:trPr>
        <w:tc>
          <w:tcPr>
            <w:tcW w:type="dxa" w:w="1934"/>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Offer</w:t>
            </w:r>
          </w:p>
        </w:tc>
        <w:tc>
          <w:tcPr>
            <w:tcW w:type="dxa" w:w="3868"/>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What the customer gets</w:t>
            </w:r>
          </w:p>
        </w:tc>
        <w:tc>
          <w:tcPr>
            <w:tcW w:type="dxa" w:w="1934"/>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Price</w:t>
            </w:r>
          </w:p>
        </w:tc>
        <w:tc>
          <w:tcPr>
            <w:tcW w:type="dxa" w:w="1290"/>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Length</w:t>
            </w:r>
          </w:p>
        </w:tc>
      </w:tr>
      <w:tr>
        <w:tc>
          <w:tcPr>
            <w:tcW w:type="dxa" w:w="193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AI claims governance readiness assessment</w:t>
            </w:r>
          </w:p>
        </w:tc>
        <w:tc>
          <w:tcPr>
            <w:tcW w:type="dxa" w:w="3868"/>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Map AI use in claims; gap report against draft rules, IRDAI working-group themes and DPDP; 90-day action plan</w:t>
            </w:r>
          </w:p>
        </w:tc>
        <w:tc>
          <w:tcPr>
            <w:tcW w:type="dxa" w:w="193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₹5–10 lakh</w:t>
            </w:r>
          </w:p>
        </w:tc>
        <w:tc>
          <w:tcPr>
            <w:tcW w:type="dxa" w:w="1290"/>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3–4 weeks</w:t>
            </w:r>
          </w:p>
        </w:tc>
      </w:tr>
      <w:tr>
        <w:tc>
          <w:tcPr>
            <w:tcW w:type="dxa" w:w="193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Shadow-mode pilot</w:t>
            </w:r>
          </w:p>
        </w:tc>
        <w:tc>
          <w:tcPr>
            <w:tcW w:type="dxa" w:w="3868"/>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Replay of 3–6 months of de-identified decisions; findings report; executive readout</w:t>
            </w:r>
          </w:p>
        </w:tc>
        <w:tc>
          <w:tcPr>
            <w:tcW w:type="dxa" w:w="193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₹3–5 lakh (credited to year 1 if they subscribe)</w:t>
            </w:r>
          </w:p>
        </w:tc>
        <w:tc>
          <w:tcPr>
            <w:tcW w:type="dxa" w:w="1290"/>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60 days</w:t>
            </w:r>
          </w:p>
        </w:tc>
      </w:tr>
      <w:tr>
        <w:tc>
          <w:tcPr>
            <w:tcW w:type="dxa" w:w="193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Annual subscription</w:t>
            </w:r>
          </w:p>
        </w:tc>
        <w:tc>
          <w:tcPr>
            <w:tcW w:type="dxa" w:w="3868"/>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Decision Guard in their environment; rule-pack updates; evidence store; support</w:t>
            </w:r>
          </w:p>
        </w:tc>
        <w:tc>
          <w:tcPr>
            <w:tcW w:type="dxa" w:w="193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₹15–60 lakh by decision volume</w:t>
            </w:r>
          </w:p>
        </w:tc>
        <w:tc>
          <w:tcPr>
            <w:tcW w:type="dxa" w:w="1290"/>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12 months</w:t>
            </w:r>
          </w:p>
        </w:tc>
      </w:tr>
    </w:tbl>
    <w:p>
      <w:pPr>
        <w:spacing w:after="120"/>
      </w:pPr>
    </w:p>
    <w:p>
      <w:pPr>
        <w:spacing w:after="140" w:line="288"/>
      </w:pPr>
      <w:r>
        <w:rPr>
          <w:rFonts w:ascii="Arial" w:cs="Arial" w:eastAsia="Arial" w:hAnsi="Arial"/>
          <w:sz w:val="21"/>
          <w:szCs w:val="21"/>
        </w:rPr>
        <w:t xml:space="preserve">Test on the first 5 calls: present the pilot at ₹4 lakh and watch the reaction. If nobody hesitates, the price is too low.</w:t>
      </w:r>
    </w:p>
    <w:p>
      <w:pPr>
        <w:pStyle w:val="Heading1"/>
        <w:spacing w:after="140" w:before="320"/>
      </w:pPr>
      <w:r>
        <w:rPr>
          <w:rFonts w:ascii="Arial" w:cs="Arial" w:eastAsia="Arial" w:hAnsi="Arial"/>
        </w:rPr>
        <w:t xml:space="preserve">5. Channels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41"/>
        <w:gridCol w:w="4923"/>
        <w:gridCol w:w="2462"/>
      </w:tblGrid>
      <w:tr>
        <w:trPr>
          <w:tblHeader/>
        </w:trPr>
        <w:tc>
          <w:tcPr>
            <w:tcW w:type="dxa" w:w="1641"/>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Channel</w:t>
            </w:r>
          </w:p>
        </w:tc>
        <w:tc>
          <w:tcPr>
            <w:tcW w:type="dxa" w:w="4923"/>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How</w:t>
            </w:r>
          </w:p>
        </w:tc>
        <w:tc>
          <w:tcPr>
            <w:tcW w:type="dxa" w:w="2462"/>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Expected role</w:t>
            </w:r>
          </w:p>
        </w:tc>
      </w:tr>
      <w:tr>
        <w:tc>
          <w:tcPr>
            <w:tcW w:type="dxa" w:w="164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Founder-led outreach</w:t>
            </w:r>
          </w:p>
        </w:tc>
        <w:tc>
          <w:tcPr>
            <w:tcW w:type="dxa" w:w="4923"/>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LinkedIn and warm introductions to claims, compliance and AI leaders; 10 personalised messages a day</w:t>
            </w:r>
          </w:p>
        </w:tc>
        <w:tc>
          <w:tcPr>
            <w:tcW w:type="dxa" w:w="246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Primary channel for the first 10 customers</w:t>
            </w:r>
          </w:p>
        </w:tc>
      </w:tr>
      <w:tr>
        <w:tc>
          <w:tcPr>
            <w:tcW w:type="dxa" w:w="164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Networks</w:t>
            </w:r>
          </w:p>
        </w:tc>
        <w:tc>
          <w:tcPr>
            <w:tcW w:type="dxa" w:w="4923"/>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Women in Product India, AIGP community, alumni, Insurance Institute of India events</w:t>
            </w:r>
          </w:p>
        </w:tc>
        <w:tc>
          <w:tcPr>
            <w:tcW w:type="dxa" w:w="246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Warm introductions</w:t>
            </w:r>
          </w:p>
        </w:tc>
      </w:tr>
      <w:tr>
        <w:tc>
          <w:tcPr>
            <w:tcW w:type="dxa" w:w="164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Thought leadership</w:t>
            </w:r>
          </w:p>
        </w:tc>
        <w:tc>
          <w:tcPr>
            <w:tcW w:type="dxa" w:w="4923"/>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Short posts and a public “IRDAI AI framework readiness checklist for claims”; commentary when the working group report is published</w:t>
            </w:r>
          </w:p>
        </w:tc>
        <w:tc>
          <w:tcPr>
            <w:tcW w:type="dxa" w:w="246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Inbound interest and credibility</w:t>
            </w:r>
          </w:p>
        </w:tc>
      </w:tr>
      <w:tr>
        <w:tc>
          <w:tcPr>
            <w:tcW w:type="dxa" w:w="164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Industry events</w:t>
            </w:r>
          </w:p>
        </w:tc>
        <w:tc>
          <w:tcPr>
            <w:tcW w:type="dxa" w:w="4923"/>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Insurance summits run by industry bodies such as FICCI and CII [Likely; check dates]</w:t>
            </w:r>
          </w:p>
        </w:tc>
        <w:tc>
          <w:tcPr>
            <w:tcW w:type="dxa" w:w="246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Meet claims and compliance heads in person</w:t>
            </w:r>
          </w:p>
        </w:tc>
      </w:tr>
      <w:tr>
        <w:tc>
          <w:tcPr>
            <w:tcW w:type="dxa" w:w="164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Partners</w:t>
            </w:r>
          </w:p>
        </w:tc>
        <w:tc>
          <w:tcPr>
            <w:tcW w:type="dxa" w:w="4923"/>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Consulting firms running AI governance projects for insurers; TPAs</w:t>
            </w:r>
          </w:p>
        </w:tc>
        <w:tc>
          <w:tcPr>
            <w:tcW w:type="dxa" w:w="246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Later: referrals and resale</w:t>
            </w:r>
          </w:p>
        </w:tc>
      </w:tr>
    </w:tbl>
    <w:p>
      <w:pPr>
        <w:spacing w:after="120"/>
      </w:pPr>
    </w:p>
    <w:p>
      <w:pPr>
        <w:pStyle w:val="Heading1"/>
        <w:spacing w:after="140" w:before="320"/>
      </w:pPr>
      <w:r>
        <w:rPr>
          <w:rFonts w:ascii="Arial" w:cs="Arial" w:eastAsia="Arial" w:hAnsi="Arial"/>
        </w:rPr>
        <w:t xml:space="preserve">6. Sales process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61"/>
        <w:gridCol w:w="4923"/>
        <w:gridCol w:w="1642"/>
      </w:tblGrid>
      <w:tr>
        <w:trPr>
          <w:tblHeader/>
        </w:trPr>
        <w:tc>
          <w:tcPr>
            <w:tcW w:type="dxa" w:w="2461"/>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Stage</w:t>
            </w:r>
          </w:p>
        </w:tc>
        <w:tc>
          <w:tcPr>
            <w:tcW w:type="dxa" w:w="4923"/>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Exit criteria</w:t>
            </w:r>
          </w:p>
        </w:tc>
        <w:tc>
          <w:tcPr>
            <w:tcW w:type="dxa" w:w="1642"/>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Typical length [Guessing]</w:t>
            </w:r>
          </w:p>
        </w:tc>
      </w:tr>
      <w:tr>
        <w:tc>
          <w:tcPr>
            <w:tcW w:type="dxa" w:w="246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1. First conversation</w:t>
            </w:r>
          </w:p>
        </w:tc>
        <w:tc>
          <w:tcPr>
            <w:tcW w:type="dxa" w:w="4923"/>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Pain confirmed: AI in claims plus a regulatory or grievance concern</w:t>
            </w:r>
          </w:p>
        </w:tc>
        <w:tc>
          <w:tcPr>
            <w:tcW w:type="dxa" w:w="164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1 call</w:t>
            </w:r>
          </w:p>
        </w:tc>
      </w:tr>
      <w:tr>
        <w:tc>
          <w:tcPr>
            <w:tcW w:type="dxa" w:w="246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2. Discovery with owner</w:t>
            </w:r>
          </w:p>
        </w:tc>
        <w:tc>
          <w:tcPr>
            <w:tcW w:type="dxa" w:w="4923"/>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Named owner, budget path, data available (de-identified)</w:t>
            </w:r>
          </w:p>
        </w:tc>
        <w:tc>
          <w:tcPr>
            <w:tcW w:type="dxa" w:w="164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1–2 weeks</w:t>
            </w:r>
          </w:p>
        </w:tc>
      </w:tr>
      <w:tr>
        <w:tc>
          <w:tcPr>
            <w:tcW w:type="dxa" w:w="246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3. Proposal</w:t>
            </w:r>
          </w:p>
        </w:tc>
        <w:tc>
          <w:tcPr>
            <w:tcW w:type="dxa" w:w="4923"/>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Assessment or pilot scope agreed; NDA signed</w:t>
            </w:r>
          </w:p>
        </w:tc>
        <w:tc>
          <w:tcPr>
            <w:tcW w:type="dxa" w:w="164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1–2 weeks</w:t>
            </w:r>
          </w:p>
        </w:tc>
      </w:tr>
      <w:tr>
        <w:tc>
          <w:tcPr>
            <w:tcW w:type="dxa" w:w="246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4. Pilot</w:t>
            </w:r>
          </w:p>
        </w:tc>
        <w:tc>
          <w:tcPr>
            <w:tcW w:type="dxa" w:w="4923"/>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Replay report delivered; findings confirmed by the customer</w:t>
            </w:r>
          </w:p>
        </w:tc>
        <w:tc>
          <w:tcPr>
            <w:tcW w:type="dxa" w:w="164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60 days</w:t>
            </w:r>
          </w:p>
        </w:tc>
      </w:tr>
      <w:tr>
        <w:tc>
          <w:tcPr>
            <w:tcW w:type="dxa" w:w="246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5. Subscription</w:t>
            </w:r>
          </w:p>
        </w:tc>
        <w:tc>
          <w:tcPr>
            <w:tcW w:type="dxa" w:w="4923"/>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Security review passed; contract signed</w:t>
            </w:r>
          </w:p>
        </w:tc>
        <w:tc>
          <w:tcPr>
            <w:tcW w:type="dxa" w:w="164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1–3 months</w:t>
            </w:r>
          </w:p>
        </w:tc>
      </w:tr>
    </w:tbl>
    <w:p>
      <w:pPr>
        <w:spacing w:after="120"/>
      </w:pPr>
    </w:p>
    <w:p>
      <w:pPr>
        <w:pStyle w:val="Heading1"/>
        <w:spacing w:after="140" w:before="320"/>
      </w:pPr>
      <w:r>
        <w:rPr>
          <w:rFonts w:ascii="Arial" w:cs="Arial" w:eastAsia="Arial" w:hAnsi="Arial"/>
        </w:rPr>
        <w:t xml:space="preserve">7. 90-day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5415"/>
        <w:gridCol w:w="2709"/>
      </w:tblGrid>
      <w:tr>
        <w:trPr>
          <w:tblHeader/>
        </w:trPr>
        <w:tc>
          <w:tcPr>
            <w:tcW w:type="dxa" w:w="902"/>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Weeks</w:t>
            </w:r>
          </w:p>
        </w:tc>
        <w:tc>
          <w:tcPr>
            <w:tcW w:type="dxa" w:w="5415"/>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Actions</w:t>
            </w:r>
          </w:p>
        </w:tc>
        <w:tc>
          <w:tcPr>
            <w:tcW w:type="dxa" w:w="2709"/>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Output</w:t>
            </w:r>
          </w:p>
        </w:tc>
      </w:tr>
      <w:tr>
        <w:tc>
          <w:tcPr>
            <w:tcW w:type="dxa" w:w="90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1–2</w:t>
            </w:r>
          </w:p>
        </w:tc>
        <w:tc>
          <w:tcPr>
            <w:tcW w:type="dxa" w:w="5415"/>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Build a list of 40 named contacts across tier A; publish the readiness checklist; send first 30 messages; recruit a claims advisor</w:t>
            </w:r>
          </w:p>
        </w:tc>
        <w:tc>
          <w:tcPr>
            <w:tcW w:type="dxa" w:w="2709"/>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40-name list; 1 published piece; advisor conversations</w:t>
            </w:r>
          </w:p>
        </w:tc>
      </w:tr>
      <w:tr>
        <w:tc>
          <w:tcPr>
            <w:tcW w:type="dxa" w:w="90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2–6</w:t>
            </w:r>
          </w:p>
        </w:tc>
        <w:tc>
          <w:tcPr>
            <w:tcW w:type="dxa" w:w="5415"/>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Run 8–10 discovery calls; log each in the tracker; get counsel quote for rule review</w:t>
            </w:r>
          </w:p>
        </w:tc>
        <w:tc>
          <w:tcPr>
            <w:tcW w:type="dxa" w:w="2709"/>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Call notes; go/no-go decision at week 6</w:t>
            </w:r>
          </w:p>
        </w:tc>
      </w:tr>
      <w:tr>
        <w:tc>
          <w:tcPr>
            <w:tcW w:type="dxa" w:w="90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6–8</w:t>
            </w:r>
          </w:p>
        </w:tc>
        <w:tc>
          <w:tcPr>
            <w:tcW w:type="dxa" w:w="5415"/>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Counsel reviews the rule pack; send 2–3 proposals</w:t>
            </w:r>
          </w:p>
        </w:tc>
        <w:tc>
          <w:tcPr>
            <w:tcW w:type="dxa" w:w="2709"/>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Reviewed rules; proposals out</w:t>
            </w:r>
          </w:p>
        </w:tc>
      </w:tr>
      <w:tr>
        <w:tc>
          <w:tcPr>
            <w:tcW w:type="dxa" w:w="90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8–12</w:t>
            </w:r>
          </w:p>
        </w:tc>
        <w:tc>
          <w:tcPr>
            <w:tcW w:type="dxa" w:w="5415"/>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Run the first paid assessment or pilot; build v0.2 features the pilot needs</w:t>
            </w:r>
          </w:p>
        </w:tc>
        <w:tc>
          <w:tcPr>
            <w:tcW w:type="dxa" w:w="2709"/>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First revenue; first findings report</w:t>
            </w:r>
          </w:p>
        </w:tc>
      </w:tr>
    </w:tbl>
    <w:p>
      <w:pPr>
        <w:spacing w:after="120"/>
      </w:pPr>
    </w:p>
    <w:p>
      <w:pPr>
        <w:pStyle w:val="Heading1"/>
        <w:spacing w:after="140" w:before="320"/>
      </w:pPr>
      <w:r>
        <w:rPr>
          <w:rFonts w:ascii="Arial" w:cs="Arial" w:eastAsia="Arial" w:hAnsi="Arial"/>
        </w:rPr>
        <w:t xml:space="preserve">8.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17"/>
        <w:gridCol w:w="3009"/>
      </w:tblGrid>
      <w:tr>
        <w:trPr>
          <w:tblHeader/>
        </w:trPr>
        <w:tc>
          <w:tcPr>
            <w:tcW w:type="dxa" w:w="6017"/>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Metric</w:t>
            </w:r>
          </w:p>
        </w:tc>
        <w:tc>
          <w:tcPr>
            <w:tcW w:type="dxa" w:w="3009"/>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Target by week 12 [Guessing]</w:t>
            </w:r>
          </w:p>
        </w:tc>
      </w:tr>
      <w:tr>
        <w:tc>
          <w:tcPr>
            <w:tcW w:type="dxa" w:w="6017"/>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Messages sent</w:t>
            </w:r>
          </w:p>
        </w:tc>
        <w:tc>
          <w:tcPr>
            <w:tcW w:type="dxa" w:w="3009"/>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120</w:t>
            </w:r>
          </w:p>
        </w:tc>
      </w:tr>
      <w:tr>
        <w:tc>
          <w:tcPr>
            <w:tcW w:type="dxa" w:w="6017"/>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Reply rate</w:t>
            </w:r>
          </w:p>
        </w:tc>
        <w:tc>
          <w:tcPr>
            <w:tcW w:type="dxa" w:w="3009"/>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15% or more</w:t>
            </w:r>
          </w:p>
        </w:tc>
      </w:tr>
      <w:tr>
        <w:tc>
          <w:tcPr>
            <w:tcW w:type="dxa" w:w="6017"/>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Discovery calls held</w:t>
            </w:r>
          </w:p>
        </w:tc>
        <w:tc>
          <w:tcPr>
            <w:tcW w:type="dxa" w:w="3009"/>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10 or more</w:t>
            </w:r>
          </w:p>
        </w:tc>
      </w:tr>
      <w:tr>
        <w:tc>
          <w:tcPr>
            <w:tcW w:type="dxa" w:w="6017"/>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Calls where AI-in-claims pain is confirmed</w:t>
            </w:r>
          </w:p>
        </w:tc>
        <w:tc>
          <w:tcPr>
            <w:tcW w:type="dxa" w:w="3009"/>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5 or more</w:t>
            </w:r>
          </w:p>
        </w:tc>
      </w:tr>
      <w:tr>
        <w:tc>
          <w:tcPr>
            <w:tcW w:type="dxa" w:w="6017"/>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Proposals sent</w:t>
            </w:r>
          </w:p>
        </w:tc>
        <w:tc>
          <w:tcPr>
            <w:tcW w:type="dxa" w:w="3009"/>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3</w:t>
            </w:r>
          </w:p>
        </w:tc>
      </w:tr>
      <w:tr>
        <w:tc>
          <w:tcPr>
            <w:tcW w:type="dxa" w:w="6017"/>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Paid assessments or pilots</w:t>
            </w:r>
          </w:p>
        </w:tc>
        <w:tc>
          <w:tcPr>
            <w:tcW w:type="dxa" w:w="3009"/>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1–2</w:t>
            </w:r>
          </w:p>
        </w:tc>
      </w:tr>
    </w:tbl>
    <w:p>
      <w:pPr>
        <w:spacing w:after="120"/>
      </w:pPr>
    </w:p>
    <w:p>
      <w:pPr>
        <w:pStyle w:val="Heading1"/>
        <w:spacing w:after="140" w:before="320"/>
      </w:pPr>
      <w:r>
        <w:rPr>
          <w:rFonts w:ascii="Arial" w:cs="Arial" w:eastAsia="Arial" w:hAnsi="Arial"/>
        </w:rPr>
        <w:t xml:space="preserve">9. Objections and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Objection</w:t>
            </w:r>
          </w:p>
        </w:tc>
        <w:tc>
          <w:tcPr>
            <w:tcW w:type="dxa" w:w="6319"/>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Answer</w:t>
            </w:r>
          </w:p>
        </w:tc>
      </w:tr>
      <w:tr>
        <w:tc>
          <w:tcPr>
            <w:tcW w:type="dxa" w:w="2707"/>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“IRDAI hasn’t issued AI rules yet.”</w:t>
            </w:r>
          </w:p>
        </w:tc>
        <w:tc>
          <w:tcPr>
            <w:tcW w:type="dxa" w:w="6319"/>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The claim deadlines and repudiation rules are already in force, and DPDP starts in May 2027. Shadow mode shows your exposure today at no risk to operations.</w:t>
            </w:r>
          </w:p>
        </w:tc>
      </w:tr>
      <w:tr>
        <w:tc>
          <w:tcPr>
            <w:tcW w:type="dxa" w:w="2707"/>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“Our claims system already tracks SLAs.”</w:t>
            </w:r>
          </w:p>
        </w:tc>
        <w:tc>
          <w:tcPr>
            <w:tcW w:type="dxa" w:w="6319"/>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Valifides checks AI involvement and human review, not only deadlines, and gives evidence independent of any single vendor.</w:t>
            </w:r>
          </w:p>
        </w:tc>
      </w:tr>
      <w:tr>
        <w:tc>
          <w:tcPr>
            <w:tcW w:type="dxa" w:w="2707"/>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“We can’t share claims data.”</w:t>
            </w:r>
          </w:p>
        </w:tc>
        <w:tc>
          <w:tcPr>
            <w:tcW w:type="dxa" w:w="6319"/>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You don’t have to. Replay runs in your environment on de-identified exports; Valifides never needs policyholder names.</w:t>
            </w:r>
          </w:p>
        </w:tc>
      </w:tr>
      <w:tr>
        <w:tc>
          <w:tcPr>
            <w:tcW w:type="dxa" w:w="2707"/>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“You’re a one-person company.”</w:t>
            </w:r>
          </w:p>
        </w:tc>
        <w:tc>
          <w:tcPr>
            <w:tcW w:type="dxa" w:w="6319"/>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Correct, which is why we start with a fixed-scope pilot, not a platform commitment, and why the rules are reviewed by counsel.</w:t>
            </w:r>
          </w:p>
        </w:tc>
      </w:tr>
      <w:tr>
        <w:tc>
          <w:tcPr>
            <w:tcW w:type="dxa" w:w="2707"/>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“Will it slow down cashless approvals?”</w:t>
            </w:r>
          </w:p>
        </w:tc>
        <w:tc>
          <w:tcPr>
            <w:tcW w:type="dxa" w:w="6319"/>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The engine check takes microseconds, and shadow mode adds nothing to your flow.</w:t>
            </w:r>
          </w:p>
        </w:tc>
      </w:tr>
    </w:tbl>
    <w:p>
      <w:pPr>
        <w:spacing w:after="120"/>
      </w:pPr>
    </w:p>
    <w:p>
      <w:pPr>
        <w:pStyle w:val="Heading1"/>
        <w:spacing w:after="140" w:before="320"/>
      </w:pPr>
      <w:r>
        <w:rPr>
          <w:rFonts w:ascii="Arial" w:cs="Arial" w:eastAsia="Arial" w:hAnsi="Arial"/>
        </w:rPr>
        <w:t xml:space="preserve">10. US entry (after India references)</w:t>
      </w:r>
    </w:p>
    <w:p>
      <w:pPr>
        <w:pStyle w:val="ListParagraph"/>
        <w:numPr>
          <w:ilvl w:val="0"/>
          <w:numId w:val="2"/>
        </w:numPr>
        <w:spacing w:after="80" w:line="276"/>
      </w:pPr>
      <w:r>
        <w:rPr>
          <w:rFonts w:ascii="Arial" w:cs="Arial" w:eastAsia="Arial" w:hAnsi="Arial"/>
          <w:sz w:val="21"/>
          <w:szCs w:val="21"/>
        </w:rPr>
        <w:t xml:space="preserve">First buyer: claims AI vendors selling to US carriers, whose customers must oversee vendor AI under the NAIC bulletin [Likely].</w:t>
      </w:r>
    </w:p>
    <w:p>
      <w:pPr>
        <w:pStyle w:val="ListParagraph"/>
        <w:numPr>
          <w:ilvl w:val="0"/>
          <w:numId w:val="2"/>
        </w:numPr>
        <w:spacing w:after="80" w:line="276"/>
      </w:pPr>
      <w:r>
        <w:rPr>
          <w:rFonts w:ascii="Arial" w:cs="Arial" w:eastAsia="Arial" w:hAnsi="Arial"/>
          <w:sz w:val="21"/>
          <w:szCs w:val="21"/>
        </w:rPr>
        <w:t xml:space="preserve">Rule pack: NAIC bulletin governance evidence plus state unfair-claims-practices deadlines; health only after HIPAA readiness.</w:t>
      </w:r>
    </w:p>
    <w:p>
      <w:pPr>
        <w:pStyle w:val="ListParagraph"/>
        <w:numPr>
          <w:ilvl w:val="0"/>
          <w:numId w:val="2"/>
        </w:numPr>
        <w:spacing w:after="80" w:line="276"/>
      </w:pPr>
      <w:r>
        <w:rPr>
          <w:rFonts w:ascii="Arial" w:cs="Arial" w:eastAsia="Arial" w:hAnsi="Arial"/>
          <w:sz w:val="21"/>
          <w:szCs w:val="21"/>
        </w:rPr>
        <w:t xml:space="preserve">Competitors to position against: Swept.ai, Monitaur, FairPlay.</w:t>
      </w:r>
    </w:p>
    <w:p>
      <w:pPr>
        <w:pStyle w:val="ListParagraph"/>
        <w:numPr>
          <w:ilvl w:val="0"/>
          <w:numId w:val="2"/>
        </w:numPr>
        <w:spacing w:after="80" w:line="276"/>
      </w:pPr>
      <w:r>
        <w:rPr>
          <w:rFonts w:ascii="Arial" w:cs="Arial" w:eastAsia="Arial" w:hAnsi="Arial"/>
          <w:sz w:val="21"/>
          <w:szCs w:val="21"/>
        </w:rPr>
        <w:t xml:space="preserve">Prerequisites: India reference customers, a US go-to-market partner, SOC 2 path.</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Valifides Go-to-Market Strategy · Confidential draft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b/>
      <w:bCs/>
      <w:color w:val="1F2937"/>
      <w:sz w:val="44"/>
      <w:szCs w:val="44"/>
    </w:rPr>
  </w:style>
  <w:style w:type="paragraph" w:styleId="Heading1">
    <w:name w:val="Heading 1"/>
    <w:basedOn w:val="Normal"/>
    <w:next w:val="Normal"/>
    <w:qFormat/>
    <w:pPr>
      <w:outlineLvl w:val="0"/>
    </w:pPr>
    <w:rPr>
      <w:rFonts w:ascii="Arial" w:cs="Arial" w:eastAsia="Arial" w:hAnsi="Arial"/>
      <w:b/>
      <w:bCs/>
      <w:color w:val="1F2937"/>
      <w:sz w:val="30"/>
      <w:szCs w:val="30"/>
    </w:rPr>
  </w:style>
  <w:style w:type="paragraph" w:styleId="Heading2">
    <w:name w:val="Heading 2"/>
    <w:basedOn w:val="Normal"/>
    <w:next w:val="Normal"/>
    <w:qFormat/>
    <w:pPr>
      <w:outlineLvl w:val="1"/>
    </w:pPr>
    <w:rPr>
      <w:rFonts w:ascii="Arial" w:cs="Arial" w:eastAsia="Arial" w:hAnsi="Arial"/>
      <w:b/>
      <w:bCs/>
      <w:color w:val="B4530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2026-10-01T08:49:05.575Z</dcterms:created>
  <dcterms:modified xsi:type="dcterms:W3CDTF">2026-10-01T08:49:05.576Z</dcterms:modified>
</cp:coreProperties>
</file>

<file path=docProps/custom.xml><?xml version="1.0" encoding="utf-8"?>
<Properties xmlns="http://schemas.openxmlformats.org/officeDocument/2006/custom-properties" xmlns:vt="http://schemas.openxmlformats.org/officeDocument/2006/docPropsVTypes"/>
</file>