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rFonts w:ascii="Arial" w:cs="Arial" w:eastAsia="Arial" w:hAnsi="Arial"/>
        </w:rPr>
        <w:t xml:space="preserve">Valifides: Should We Enter the Market?</w:t>
      </w:r>
    </w:p>
    <w:p>
      <w:pPr>
        <w:pBdr>
          <w:bottom w:val="single" w:color="BBBBBB" w:sz="6" w:space="6"/>
        </w:pBdr>
        <w:spacing w:after="22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Go / no-go assessment for P&amp;C claims  ·  1 October 2026</w:t>
      </w:r>
    </w:p>
    <w:p>
      <w:pPr>
        <w:spacing w:after="14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Short answer: not yet as a company, but yes as a 6-week experiment. </w:t>
      </w:r>
      <w:r>
        <w:rPr>
          <w:rFonts w:ascii="Arial" w:cs="Arial" w:eastAsia="Arial" w:hAnsi="Arial"/>
          <w:sz w:val="21"/>
          <w:szCs w:val="21"/>
        </w:rPr>
        <w:t xml:space="preserve">Much of what follows is judgment from public information, not evidence from buyers, so treat the verdict as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[Likely]</w:t>
      </w:r>
      <w:r>
        <w:rPr>
          <w:rFonts w:ascii="Arial" w:cs="Arial" w:eastAsia="Arial" w:hAnsi="Arial"/>
          <w:sz w:val="21"/>
          <w:szCs w:val="21"/>
        </w:rPr>
        <w:t xml:space="preserve"> at best. Only validation calls can turn it into a real yes or no.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The case against entering now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[Certain] </w:t>
      </w:r>
      <w:r>
        <w:rPr>
          <w:rFonts w:ascii="Arial" w:cs="Arial" w:eastAsia="Arial" w:hAnsi="Arial"/>
          <w:sz w:val="21"/>
          <w:szCs w:val="21"/>
        </w:rPr>
        <w:t xml:space="preserve">No US state law currently requires what Valifides would enforce in P&amp;C claims. Florida’s HB 527 died in the Senate. The pitch rests on the NAIC bulletin, existing claims-handling laws and lawsuit risk: real, but not urgent.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[Likely] </w:t>
      </w:r>
      <w:r>
        <w:rPr>
          <w:rFonts w:ascii="Arial" w:cs="Arial" w:eastAsia="Arial" w:hAnsi="Arial"/>
          <w:sz w:val="21"/>
          <w:szCs w:val="21"/>
        </w:rPr>
        <w:t xml:space="preserve">Swept.ai and Monitaur already sell AI governance to insurers, and well-funded general platforms (Credo AI, IBM, OneTrust, Arthur) sell to large carriers.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[Certain] </w:t>
      </w:r>
      <w:r>
        <w:rPr>
          <w:rFonts w:ascii="Arial" w:cs="Arial" w:eastAsia="Arial" w:hAnsi="Arial"/>
          <w:sz w:val="21"/>
          <w:szCs w:val="21"/>
        </w:rPr>
        <w:t xml:space="preserve">“Human approval before an AI decision” is already a free feature in agent tools such as OpenAI’s Agents SDK.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[Certain] </w:t>
      </w:r>
      <w:r>
        <w:rPr>
          <w:rFonts w:ascii="Arial" w:cs="Arial" w:eastAsia="Arial" w:hAnsi="Arial"/>
          <w:sz w:val="21"/>
          <w:szCs w:val="21"/>
        </w:rPr>
        <w:t xml:space="preserve">The current setup is weak for selling compliance software into US insurance: one founder in Hyderabad, no engineer, no insurance claims expert, no US company or SOC 2. Compliance buyers buy credibility as much as software.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[Guessing] </w:t>
      </w:r>
      <w:r>
        <w:rPr>
          <w:rFonts w:ascii="Arial" w:cs="Arial" w:eastAsia="Arial" w:hAnsi="Arial"/>
          <w:sz w:val="21"/>
          <w:szCs w:val="21"/>
        </w:rPr>
        <w:t xml:space="preserve">The first buyer is unproven. It isn’t known whether insurers are actually pressing claims AI vendors for oversight evidence today.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The case for entering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[Likely] </w:t>
      </w:r>
      <w:r>
        <w:rPr>
          <w:rFonts w:ascii="Arial" w:cs="Arial" w:eastAsia="Arial" w:hAnsi="Arial"/>
          <w:sz w:val="21"/>
          <w:szCs w:val="21"/>
        </w:rPr>
        <w:t xml:space="preserve">The regulatory direction is clear: the NAIC bulletin in 24+ states and D.C., a standard examination tool for insurers’ AI being piloted, a wave of state AI insurance bills, Florida’s bill passing the House 108–0, and 7 health-insurance laws in 2026 showing where P&amp;C may follow.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[Guessing] </w:t>
      </w:r>
      <w:r>
        <w:rPr>
          <w:rFonts w:ascii="Arial" w:cs="Arial" w:eastAsia="Arial" w:hAnsi="Arial"/>
          <w:sz w:val="21"/>
          <w:szCs w:val="21"/>
        </w:rPr>
        <w:t xml:space="preserve">There’s a plausible gap: enforcement before decisions take effect, insurance-claims rules for each state, sold to vendors as something built into their product. None of the competitors found clearly combines all three.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[Certain] </w:t>
      </w:r>
      <w:r>
        <w:rPr>
          <w:rFonts w:ascii="Arial" w:cs="Arial" w:eastAsia="Arial" w:hAnsi="Arial"/>
          <w:sz w:val="21"/>
          <w:szCs w:val="21"/>
        </w:rPr>
        <w:t xml:space="preserve">Testing it is cheap: free tools, the existing repo, and calls that can be made from Hyderabad in the evenings.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[Likely] </w:t>
      </w:r>
      <w:r>
        <w:rPr>
          <w:rFonts w:ascii="Arial" w:cs="Arial" w:eastAsia="Arial" w:hAnsi="Arial"/>
          <w:sz w:val="21"/>
          <w:szCs w:val="21"/>
        </w:rPr>
        <w:t xml:space="preserve">The founder edge is real but narrow: AIGP, original research, and the ability to build quickly.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Verdict: enter only if all four conditions are met within 6 weeks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380"/>
        <w:gridCol w:w="4480"/>
      </w:tblGrid>
      <w:tr>
        <w:trPr>
          <w:tblHeader/>
        </w:trPr>
        <w:tc>
          <w:tcPr>
            <w:tcW w:type="dxa" w:w="5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38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Condition</w:t>
            </w:r>
          </w:p>
        </w:tc>
        <w:tc>
          <w:tcPr>
            <w:tcW w:type="dxa" w:w="448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you check it</w:t>
            </w:r>
          </w:p>
        </w:tc>
      </w:tr>
      <w:tr>
        <w:tc>
          <w:tcPr>
            <w:tcW w:type="dxa" w:w="5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438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At least 3 claims AI vendors say an insurer asked them for AI-oversight evidence in the last 6 months</w:t>
            </w:r>
          </w:p>
        </w:tc>
        <w:tc>
          <w:tcPr>
            <w:tcW w:type="dxa" w:w="448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Your calls; record each in the Prospect Tracker</w:t>
            </w:r>
          </w:p>
        </w:tc>
      </w:tr>
      <w:tr>
        <w:tc>
          <w:tcPr>
            <w:tcW w:type="dxa" w:w="5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438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At least 1 vendor or insurtech agrees to a shadow-mode pilot on synthetic or de-identified data</w:t>
            </w:r>
          </w:p>
        </w:tc>
        <w:tc>
          <w:tcPr>
            <w:tcW w:type="dxa" w:w="448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signed letter of intent or email confirmation</w:t>
            </w:r>
          </w:p>
        </w:tc>
      </w:tr>
      <w:tr>
        <w:tc>
          <w:tcPr>
            <w:tcW w:type="dxa" w:w="5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438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Swept.ai and Monitaur don’t enforce before decisions take effect, or don’t sell to vendors</w:t>
            </w:r>
          </w:p>
        </w:tc>
        <w:tc>
          <w:tcPr>
            <w:tcW w:type="dxa" w:w="448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Their demos and documentation</w:t>
            </w:r>
          </w:p>
        </w:tc>
      </w:tr>
      <w:tr>
        <w:tc>
          <w:tcPr>
            <w:tcW w:type="dxa" w:w="50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438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One insurance claims expert (former claims executive or market-conduct examiner) agrees to advise</w:t>
            </w:r>
          </w:p>
        </w:tc>
        <w:tc>
          <w:tcPr>
            <w:tcW w:type="dxa" w:w="448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Your network: AIGP, Women in Product, LinkedIn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4"/>
        </w:numPr>
        <w:spacing w:after="9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All four met: </w:t>
      </w:r>
      <w:r>
        <w:rPr>
          <w:rFonts w:ascii="Arial" w:cs="Arial" w:eastAsia="Arial" w:hAnsi="Arial"/>
          <w:sz w:val="21"/>
          <w:szCs w:val="21"/>
        </w:rPr>
        <w:t xml:space="preserve">build the MVP fully, set up the company, and start pilots.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Conditions 1–2 fail: </w:t>
      </w:r>
      <w:r>
        <w:rPr>
          <w:rFonts w:ascii="Arial" w:cs="Arial" w:eastAsia="Arial" w:hAnsi="Arial"/>
          <w:sz w:val="21"/>
          <w:szCs w:val="21"/>
        </w:rPr>
        <w:t xml:space="preserve">the market isn’t ready, and building more won’t change that.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Condition 3 fails: </w:t>
      </w:r>
      <w:r>
        <w:rPr>
          <w:rFonts w:ascii="Arial" w:cs="Arial" w:eastAsia="Arial" w:hAnsi="Arial"/>
          <w:sz w:val="21"/>
          <w:szCs w:val="21"/>
        </w:rPr>
        <w:t xml:space="preserve">Swept or Monitaur already covers the gap. Compete only with a sharper niche, or don’t compete.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If the answer is no, the fallbacks are good</w:t>
      </w:r>
    </w:p>
    <w:p>
      <w:pPr>
        <w:pStyle w:val="ListParagraph"/>
        <w:numPr>
          <w:ilvl w:val="0"/>
          <w:numId w:val="5"/>
        </w:numPr>
        <w:spacing w:after="9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Health insurance, </w:t>
      </w:r>
      <w:r>
        <w:rPr>
          <w:rFonts w:ascii="Arial" w:cs="Arial" w:eastAsia="Arial" w:hAnsi="Arial"/>
          <w:sz w:val="21"/>
          <w:szCs w:val="21"/>
        </w:rPr>
        <w:t xml:space="preserve">once ready for the HIPAA work. It has the strongest laws, with deadlines already in force.</w:t>
      </w:r>
    </w:p>
    <w:p>
      <w:pPr>
        <w:pStyle w:val="ListParagraph"/>
        <w:numPr>
          <w:ilvl w:val="0"/>
          <w:numId w:val="5"/>
        </w:numPr>
        <w:spacing w:after="9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An AI governance services offering </w:t>
      </w:r>
      <w:r>
        <w:rPr>
          <w:rFonts w:ascii="Arial" w:cs="Arial" w:eastAsia="Arial" w:hAnsi="Arial"/>
          <w:sz w:val="21"/>
          <w:szCs w:val="21"/>
        </w:rPr>
        <w:t xml:space="preserve">for insurers and AI vendors, built on AIGP. Revenue now, and a way to learn which product to build.</w:t>
      </w:r>
    </w:p>
    <w:p>
      <w:pPr>
        <w:pStyle w:val="ListParagraph"/>
        <w:numPr>
          <w:ilvl w:val="0"/>
          <w:numId w:val="5"/>
        </w:numPr>
        <w:spacing w:after="9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The job route, </w:t>
      </w:r>
      <w:r>
        <w:rPr>
          <w:rFonts w:ascii="Arial" w:cs="Arial" w:eastAsia="Arial" w:hAnsi="Arial"/>
          <w:sz w:val="21"/>
          <w:szCs w:val="21"/>
        </w:rPr>
        <w:t xml:space="preserve">with Valifides as the strongest possible portfolio piece for AI Governance PM roles. This experiment helps it either way.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Recommendation</w:t>
      </w:r>
    </w:p>
    <w:p>
      <w:pPr>
        <w:spacing w:after="140" w:line="290"/>
      </w:pPr>
      <w:r>
        <w:rPr>
          <w:rFonts w:ascii="Arial" w:cs="Arial" w:eastAsia="Arial" w:hAnsi="Arial"/>
          <w:sz w:val="21"/>
          <w:szCs w:val="21"/>
        </w:rPr>
        <w:t xml:space="preserve">Spend the next 6 weeks proving or disproving the four conditions, and build only the demo needed for those calls. Don’t incorporate, don’t commit full-time, and don’t build the production middleware until the conditions are met.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Arial" w:cs="Arial" w:eastAsia="Arial" w:hAnsi="Arial"/>
      <w:b/>
      <w:bCs/>
      <w:color w:val="1F2937"/>
      <w:sz w:val="40"/>
      <w:szCs w:val="4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B45309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2026-10-01T07:52:37.131Z</dcterms:created>
  <dcterms:modified xsi:type="dcterms:W3CDTF">2026-10-01T07:52:37.138Z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