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owr66q50w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Demo Video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video demonstration of the </w:t>
      </w:r>
      <w:r w:rsidDel="00000000" w:rsidR="00000000" w:rsidRPr="00000000">
        <w:rPr>
          <w:b w:val="1"/>
          <w:bCs w:val="1"/>
          <w:rtl w:val="0"/>
        </w:rPr>
        <w:t xml:space="preserve">Incident Lifecycle Automation in ServiceNow</w:t>
      </w:r>
      <w:r w:rsidDel="00000000" w:rsidR="00000000" w:rsidRPr="00000000">
        <w:rPr>
          <w:rtl w:val="0"/>
        </w:rPr>
        <w:t xml:space="preserve"> project has been created to demonstrate the complete incident management lifecycle.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demo video covers the following functionalities: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Creation of a new incident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 of the incident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 impact and urgency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Determining incident priority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to the appropriate assignment group and user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Updating the incident status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work notes and additional information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the incident throughout its lifecycle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Resolving the incident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Providing resolution details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Closing the incident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Demo Video Link:</w:t>
        <w:br w:type="textWrapping"/>
      </w:r>
      <w:r w:rsidDel="00000000" w:rsidR="00000000" w:rsidRPr="00000000">
        <w:rPr>
          <w:rtl w:val="0"/>
        </w:rPr>
        <w:t xml:space="preserve">[https://drive.google.com/drive/home?dmr=1&amp;ec=wgc-drive-%5Bmodule%5D-goto]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video demonstrates the complete incident lifecycle implemented using ServiceNow.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