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Sales Forecasting &amp; Demand Intelligence</w:t>
      </w:r>
    </w:p>
    <w:p>
      <w:pPr>
        <w:spacing w:after="40"/>
      </w:pPr>
      <w:r>
        <w:rPr>
          <w:color w:val="555555"/>
          <w:sz w:val="22"/>
          <w:szCs w:val="22"/>
        </w:rPr>
        <w:t xml:space="preserve">Executive Summary  |  Prepared for Head of Supply Chain &amp; CFO</w:t>
      </w:r>
    </w:p>
    <w:p>
      <w:pPr>
        <w:spacing w:after="200"/>
      </w:pPr>
      <w:r>
        <w:rPr>
          <w:i/>
          <w:iCs/>
          <w:color w:val="777777"/>
          <w:sz w:val="20"/>
          <w:szCs w:val="20"/>
        </w:rPr>
        <w:t xml:space="preserve">Data period: January 2015 – December 2018   |   Prepared by: Swati Shahi</w:t>
      </w:r>
    </w:p>
    <w:p>
      <w:pPr>
        <w:pBdr>
          <w:bottom w:val="single" w:color="999999" w:sz="6" w:space="1"/>
        </w:pBdr>
        <w:spacing w:after="200" w:before="100"/>
      </w:pPr>
    </w:p>
    <w:p>
      <w:pPr>
        <w:pStyle w:val="Heading1"/>
        <w:spacing w:after="120" w:before="260"/>
      </w:pPr>
      <w:r>
        <w:t xml:space="preserve">Executive Summary</w:t>
      </w:r>
    </w:p>
    <w:p>
      <w:pPr>
        <w:spacing w:after="100"/>
      </w:pPr>
      <w:r>
        <w:t xml:space="preserve">We analyzed four years of company sales data to build a system that predicts next quarter's demand, flags unusual sales weeks, and groups products by how they behave. The headline: the business is growing steadily (roughly 22,800 dollars per month in added trend growth since 2015), but nearly all of that growth is concentrated around the November-December holiday season. Our best forecasting model predicts total sales of about 71,000 to 89,000 dollars per month for October through December 2018, accurate to within about 14 percent historically. We also identified which product lines are stable, which are volatile, and one region (East) where our forecasting approach is currently unreliable and needs a different method. Three concrete actions are recommended below, backed by the data behind them.</w:t>
      </w:r>
    </w:p>
    <w:p>
      <w:pPr>
        <w:pStyle w:val="Heading1"/>
        <w:spacing w:after="120" w:before="260"/>
      </w:pPr>
      <w:r>
        <w:t xml:space="preserve">Key Findings</w:t>
      </w:r>
    </w:p>
    <w:p>
      <w:pPr>
        <w:pStyle w:val="ListParagraph"/>
        <w:numPr>
          <w:ilvl w:val="0"/>
          <w:numId w:val="2"/>
        </w:numPr>
        <w:spacing w:after="60"/>
      </w:pPr>
      <w:r>
        <w:rPr>
          <w:b/>
          <w:bCs/>
        </w:rPr>
        <w:t xml:space="preserve">Revenue leader:</w:t>
      </w:r>
      <w:r>
        <w:t xml:space="preserve"> Technology is the top revenue category at roughly $827,000 over four years, narrowly ahead of Furniture ($729,000) and Office Supplies ($705,000).</w:t>
      </w:r>
    </w:p>
    <w:p>
      <w:pPr>
        <w:pStyle w:val="ListParagraph"/>
        <w:numPr>
          <w:ilvl w:val="0"/>
          <w:numId w:val="2"/>
        </w:numPr>
        <w:spacing w:after="60"/>
      </w:pPr>
      <w:r>
        <w:rPr>
          <w:b/>
          <w:bCs/>
        </w:rPr>
        <w:t xml:space="preserve">Most stable region:</w:t>
      </w:r>
      <w:r>
        <w:t xml:space="preserve"> The East region grows the most predictably year over year, even though it is not the fastest-growing region — useful for planning, since predictable demand is easier to stock against.</w:t>
      </w:r>
    </w:p>
    <w:p>
      <w:pPr>
        <w:pStyle w:val="ListParagraph"/>
        <w:numPr>
          <w:ilvl w:val="0"/>
          <w:numId w:val="2"/>
        </w:numPr>
        <w:spacing w:after="60"/>
      </w:pPr>
      <w:r>
        <w:rPr>
          <w:b/>
          <w:bCs/>
        </w:rPr>
        <w:t xml:space="preserve">Seasonality dominates:</w:t>
      </w:r>
      <w:r>
        <w:t xml:space="preserve"> Sales consistently spike in November and December every single year of the dataset. This seasonal effect is larger than the company's entire underlying growth trend — meaning the calendar, not growth, is the biggest driver of month-to-month swings.</w:t>
      </w:r>
    </w:p>
    <w:p>
      <w:pPr>
        <w:pStyle w:val="ListParagraph"/>
        <w:numPr>
          <w:ilvl w:val="0"/>
          <w:numId w:val="2"/>
        </w:numPr>
        <w:spacing w:after="60"/>
      </w:pPr>
      <w:r>
        <w:rPr>
          <w:b/>
          <w:bCs/>
        </w:rPr>
        <w:t xml:space="preserve">Shipping is uniform:</w:t>
      </w:r>
      <w:r>
        <w:t xml:space="preserve"> Shipping delay averages about 4 days and barely differs by region — this is not currently a lever for improving customer experience regionally.</w:t>
      </w:r>
    </w:p>
    <w:p>
      <w:pPr>
        <w:pStyle w:val="Heading1"/>
        <w:spacing w:after="120" w:before="260"/>
      </w:pPr>
      <w:r>
        <w:t xml:space="preserve">3-Month Sales Forecast</w:t>
      </w:r>
    </w:p>
    <w:p>
      <w:pPr>
        <w:spacing w:after="100"/>
      </w:pPr>
      <w:r>
        <w:t xml:space="preserve">We tested three different forecasting approaches (a classical statistical model, an industry-standard tool used by companies like Meta, and a machine-learning model) and selected the most accurate one for this dataset. The winning model was accurate to within roughly 14% on recent historical data — a solid result for retail sales forecasting.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4E79" w:val="clear"/>
          </w:tcPr>
          <w:p>
            <w:r>
              <w:rPr>
                <w:b/>
                <w:bCs/>
                <w:color w:val="FFFFFF"/>
              </w:rPr>
              <w:t xml:space="preserve">Month</w:t>
            </w:r>
          </w:p>
        </w:tc>
        <w:tc>
          <w:tcPr>
            <w:tcW w:type="dxa" w:w="3200"/>
            <w:shd w:fill="1F4E79" w:val="clear"/>
          </w:tcPr>
          <w:p>
            <w:r>
              <w:rPr>
                <w:b/>
                <w:bCs/>
                <w:color w:val="FFFFFF"/>
              </w:rPr>
              <w:t xml:space="preserve">Forecast</w:t>
            </w:r>
          </w:p>
        </w:tc>
        <w:tc>
          <w:tcPr>
            <w:tcW w:type="dxa" w:w="3200"/>
            <w:shd w:fill="1F4E79" w:val="clear"/>
          </w:tcPr>
          <w:p>
            <w:r>
              <w:rPr>
                <w:b/>
                <w:bCs/>
                <w:color w:val="FFFFFF"/>
              </w:rPr>
              <w:t xml:space="preserve">Approx. Range</w:t>
            </w:r>
          </w:p>
        </w:tc>
      </w:tr>
      <w:tr>
        <w:tc>
          <w:tcPr>
            <w:tcW w:type="dxa" w:w="3200"/>
          </w:tcPr>
          <w:p>
            <w:r>
              <w:rPr>
                <w:b/>
                <w:bCs/>
              </w:rPr>
              <w:t xml:space="preserve">October 2018</w:t>
            </w:r>
          </w:p>
        </w:tc>
        <w:tc>
          <w:tcPr>
            <w:tcW w:type="dxa" w:w="3200"/>
          </w:tcPr>
          <w:p>
            <w:r>
              <w:rPr>
                <w:b w:val="false"/>
                <w:bCs w:val="false"/>
              </w:rPr>
              <w:t xml:space="preserve">$71,452</w:t>
            </w:r>
          </w:p>
        </w:tc>
        <w:tc>
          <w:tcPr>
            <w:tcW w:type="dxa" w:w="3200"/>
          </w:tcPr>
          <w:p>
            <w:r>
              <w:rPr>
                <w:b w:val="false"/>
                <w:bCs w:val="false"/>
              </w:rPr>
              <w:t xml:space="preserve">$45,343 – $97,561</w:t>
            </w:r>
          </w:p>
        </w:tc>
      </w:tr>
      <w:tr>
        <w:tc>
          <w:tcPr>
            <w:tcW w:type="dxa" w:w="3200"/>
          </w:tcPr>
          <w:p>
            <w:r>
              <w:rPr>
                <w:b/>
                <w:bCs/>
              </w:rPr>
              <w:t xml:space="preserve">November 2018</w:t>
            </w:r>
          </w:p>
        </w:tc>
        <w:tc>
          <w:tcPr>
            <w:tcW w:type="dxa" w:w="3200"/>
          </w:tcPr>
          <w:p>
            <w:r>
              <w:rPr>
                <w:b w:val="false"/>
                <w:bCs w:val="false"/>
              </w:rPr>
              <w:t xml:space="preserve">$86,402</w:t>
            </w:r>
          </w:p>
        </w:tc>
        <w:tc>
          <w:tcPr>
            <w:tcW w:type="dxa" w:w="3200"/>
          </w:tcPr>
          <w:p>
            <w:r>
              <w:rPr>
                <w:b w:val="false"/>
                <w:bCs w:val="false"/>
              </w:rPr>
              <w:t xml:space="preserve">$55,811 – $116,994</w:t>
            </w:r>
          </w:p>
        </w:tc>
      </w:tr>
      <w:tr>
        <w:tc>
          <w:tcPr>
            <w:tcW w:type="dxa" w:w="3200"/>
          </w:tcPr>
          <w:p>
            <w:r>
              <w:rPr>
                <w:b/>
                <w:bCs/>
              </w:rPr>
              <w:t xml:space="preserve">December 2018</w:t>
            </w:r>
          </w:p>
        </w:tc>
        <w:tc>
          <w:tcPr>
            <w:tcW w:type="dxa" w:w="3200"/>
          </w:tcPr>
          <w:p>
            <w:r>
              <w:rPr>
                <w:b w:val="false"/>
                <w:bCs w:val="false"/>
              </w:rPr>
              <w:t xml:space="preserve">$89,173</w:t>
            </w:r>
          </w:p>
        </w:tc>
        <w:tc>
          <w:tcPr>
            <w:tcW w:type="dxa" w:w="3200"/>
          </w:tcPr>
          <w:p>
            <w:r>
              <w:rPr>
                <w:b w:val="false"/>
                <w:bCs w:val="false"/>
              </w:rPr>
              <w:t xml:space="preserve">$47,024 – $131,321</w:t>
            </w:r>
          </w:p>
        </w:tc>
      </w:tr>
    </w:tbl>
    <w:p>
      <w:pPr>
        <w:spacing w:after="140"/>
      </w:pPr>
    </w:p>
    <w:p>
      <w:pPr>
        <w:spacing w:after="100"/>
      </w:pPr>
      <w:r>
        <w:t xml:space="preserve">In plain terms: we expect a normal build-up into the holiday season, with December landing near $89,000 — but with real uncertainty. The wide range for December (roughly $47,000 to $131,000) reflects how much a single holiday promotion or supply disruption can swing results; treat the forecast as a planning midpoint, not a guarantee.</w:t>
      </w:r>
    </w:p>
    <w:p>
      <w:pPr>
        <w:pStyle w:val="Heading1"/>
        <w:spacing w:after="120" w:before="260"/>
      </w:pPr>
      <w:r>
        <w:t xml:space="preserve">Top Anomalies Detected</w:t>
      </w:r>
    </w:p>
    <w:p>
      <w:pPr>
        <w:spacing w:after="100"/>
      </w:pPr>
      <w:r>
        <w:t xml:space="preserve">Two independent detection methods agreed on one clear standout, and separately flagged several other unusual weeks worth a closer look:</w:t>
      </w:r>
    </w:p>
    <w:p>
      <w:pPr>
        <w:pStyle w:val="ListParagraph"/>
        <w:numPr>
          <w:ilvl w:val="0"/>
          <w:numId w:val="2"/>
        </w:numPr>
        <w:spacing w:after="60"/>
      </w:pPr>
      <w:r>
        <w:rPr>
          <w:b/>
          <w:bCs/>
        </w:rPr>
        <w:t xml:space="preserve">March 22, 2015 ($37,704):</w:t>
      </w:r>
      <w:r>
        <w:t xml:space="preserve"> The single highest-selling week across all four years. Likely a large bulk order, corporate contract, or a major promotional event — worth confirming with sales records, since an event this size may be repeatable.</w:t>
      </w:r>
    </w:p>
    <w:p>
      <w:pPr>
        <w:pStyle w:val="ListParagraph"/>
        <w:numPr>
          <w:ilvl w:val="0"/>
          <w:numId w:val="2"/>
        </w:numPr>
        <w:spacing w:after="60"/>
      </w:pPr>
      <w:r>
        <w:rPr>
          <w:b/>
          <w:bCs/>
        </w:rPr>
        <w:t xml:space="preserve">Nov 4, Nov 18, Dec 2, 2018:</w:t>
      </w:r>
      <w:r>
        <w:t xml:space="preserve"> Three separate weeks tied to the holiday shopping season, each roughly 3-4x a typical week. These are expected, not concerning, but confirm the forecast model's holiday assumptions are well-calibrated.</w:t>
      </w:r>
    </w:p>
    <w:p>
      <w:pPr>
        <w:pStyle w:val="ListParagraph"/>
        <w:numPr>
          <w:ilvl w:val="0"/>
          <w:numId w:val="2"/>
        </w:numPr>
        <w:spacing w:after="60"/>
      </w:pPr>
      <w:r>
        <w:rPr>
          <w:b/>
          <w:bCs/>
        </w:rPr>
        <w:t xml:space="preserve">Early 2015 low weeks:</w:t>
      </w:r>
      <w:r>
        <w:t xml:space="preserve"> Several unusually quiet weeks clustered in January and February 2015. Most likely reflects the business still ramping up at the very start of the dataset, combined with the normal post-holiday slowdown — not a data quality problem.</w:t>
      </w:r>
    </w:p>
    <w:p>
      <w:pPr>
        <w:pStyle w:val="Heading1"/>
        <w:spacing w:after="120" w:before="260"/>
      </w:pPr>
      <w:r>
        <w:t xml:space="preserve">Product Demand Segmentation</w:t>
      </w:r>
    </w:p>
    <w:p>
      <w:pPr>
        <w:spacing w:after="100"/>
      </w:pPr>
      <w:r>
        <w:t xml:space="preserve">We grouped the company's 17 product sub-categories by sales volume, growth rate, volatility, and typical order size. Two clear behavioral groups emerged:</w:t>
      </w:r>
    </w:p>
    <w:p>
      <w:pPr>
        <w:pStyle w:val="ListParagraph"/>
        <w:numPr>
          <w:ilvl w:val="0"/>
          <w:numId w:val="2"/>
        </w:numPr>
        <w:spacing w:after="60"/>
      </w:pPr>
      <w:r>
        <w:rPr>
          <w:b/>
          <w:bCs/>
        </w:rPr>
        <w:t xml:space="preserve">Declining/Stable-Volume Group:</w:t>
      </w:r>
      <w:r>
        <w:t xml:space="preserve"> Includes Chairs, Tables, Phones, Binders, Storage, Bookcases, and similar core products. These sell in high, steady volumes with an established customer base. Recommended strategy: maintain standard safety stock levels and reorder on a predictable schedule — these products don't need close monitoring.</w:t>
      </w:r>
    </w:p>
    <w:p>
      <w:pPr>
        <w:pStyle w:val="ListParagraph"/>
        <w:numPr>
          <w:ilvl w:val="0"/>
          <w:numId w:val="2"/>
        </w:numPr>
        <w:spacing w:after="60"/>
      </w:pPr>
      <w:r>
        <w:rPr>
          <w:b/>
          <w:bCs/>
        </w:rPr>
        <w:t xml:space="preserve">Growing/Higher-Value Group:</w:t>
      </w:r>
      <w:r>
        <w:t xml:space="preserve"> Includes Copiers, Machines, and Supplies. These are lower-volume but higher order-value items with more volatile demand. Recommended strategy: stock these more conservatively, monitor weekly rather than monthly, and consider made-to-order or faster-reorder arrangements with suppliers to avoid tying up capital in slow-moving, expensive inventory.</w:t>
      </w:r>
    </w:p>
    <w:p>
      <w:pPr>
        <w:pStyle w:val="Heading1"/>
        <w:spacing w:after="120" w:before="260"/>
      </w:pPr>
      <w:r>
        <w:t xml:space="preserve">Business Recommendations</w:t>
      </w:r>
    </w:p>
    <w:p>
      <w:pPr>
        <w:pStyle w:val="ListParagraph"/>
        <w:numPr>
          <w:ilvl w:val="0"/>
          <w:numId w:val="2"/>
        </w:numPr>
        <w:spacing w:after="60"/>
      </w:pPr>
      <w:r>
        <w:rPr>
          <w:b/>
          <w:bCs/>
        </w:rPr>
        <w:t xml:space="preserve">1. Front-load holiday season inventory earlier.</w:t>
      </w:r>
      <w:r>
        <w:t xml:space="preserve"> Both the seasonal decomposition and the anomaly detection independently confirm November-December drives a disproportionate share of annual sales. Begin building holiday inventory by September, ahead of the ramp-up the forecast shows starting in October.</w:t>
      </w:r>
    </w:p>
    <w:p>
      <w:pPr>
        <w:pStyle w:val="ListParagraph"/>
        <w:numPr>
          <w:ilvl w:val="0"/>
          <w:numId w:val="2"/>
        </w:numPr>
        <w:spacing w:after="60"/>
      </w:pPr>
      <w:r>
        <w:rPr>
          <w:b/>
          <w:bCs/>
        </w:rPr>
        <w:t xml:space="preserve">2. Treat high-value, volatile products differently from everyday stock.</w:t>
      </w:r>
      <w:r>
        <w:t xml:space="preserve"> Copiers and Machines carry high order values and volatile demand. Rather than holding large stock, negotiate faster fulfillment terms with suppliers to reduce the capital tied up in slow-moving, expensive inventory.</w:t>
      </w:r>
    </w:p>
    <w:p>
      <w:pPr>
        <w:pStyle w:val="ListParagraph"/>
        <w:numPr>
          <w:ilvl w:val="0"/>
          <w:numId w:val="2"/>
        </w:numPr>
        <w:spacing w:after="60"/>
      </w:pPr>
      <w:r>
        <w:rPr>
          <w:b/>
          <w:bCs/>
        </w:rPr>
        <w:t xml:space="preserve">3. Build a separate, lightweight forecast specifically for the East region.</w:t>
      </w:r>
      <w:r>
        <w:t xml:space="preserve"> The East region's sales pattern doesn't fit the shared forecasting model well (see Limitation below); given East is also the most-predictable region overall, it deserves a dedicated, simpler forecasting approach rather than being grouped with the rest of the company.</w:t>
      </w:r>
    </w:p>
    <w:p>
      <w:pPr>
        <w:pStyle w:val="Heading1"/>
        <w:spacing w:after="120" w:before="260"/>
      </w:pPr>
      <w:r>
        <w:t xml:space="preserve">Limitation to Be Aware Of</w:t>
      </w:r>
    </w:p>
    <w:p>
      <w:pPr>
        <w:spacing w:after="100"/>
      </w:pPr>
      <w:r>
        <w:t xml:space="preserve">This system is built on four years of monthly data — enough to see the yearly holiday pattern about three or four times, but not enough to be fully confident in exactly how strong that pattern is. Separately, when we applied the same forecasting approach to the East region individually, it produced an unreliable result (a forecast that dipped below zero, which we corrected for reporting but which signals the model doesn't fit that region well). Both issues call for the same fix: as more data accumulates each year, forecasts should be re-validated and region-specific models should be considered rather than relying on one shared approach for the whole company.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2026-07-12T11:59:33.449Z</dcterms:created>
  <dcterms:modified xsi:type="dcterms:W3CDTF">2026-07-12T11:59:33.462Z</dcterms:modified>
</cp:coreProperties>
</file>

<file path=docProps/custom.xml><?xml version="1.0" encoding="utf-8"?>
<Properties xmlns="http://schemas.openxmlformats.org/officeDocument/2006/custom-properties" xmlns:vt="http://schemas.openxmlformats.org/officeDocument/2006/docPropsVTypes"/>
</file>