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EXECUTIVE SUMMARY</w:t>
        <w:br/>
      </w:r>
    </w:p>
    <w:p>
      <w:pPr>
        <w:jc w:val="center"/>
      </w:pPr>
      <w:r>
        <w:rPr>
          <w:color w:val="404040"/>
          <w:sz w:val="28"/>
        </w:rPr>
        <w:t>Customer Churn Analytics in European Banking Sector</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Report Date:</w:t>
            </w:r>
          </w:p>
        </w:tc>
        <w:tc>
          <w:tcPr>
            <w:tcW w:type="dxa" w:w="4320"/>
          </w:tcPr>
          <w:p>
            <w:r>
              <w:t>February 11, 2026</w:t>
            </w:r>
          </w:p>
        </w:tc>
      </w:tr>
      <w:tr>
        <w:tc>
          <w:tcPr>
            <w:tcW w:type="dxa" w:w="4320"/>
          </w:tcPr>
          <w:p>
            <w:r>
              <w:rPr>
                <w:b/>
              </w:rPr>
              <w:t>Classification:</w:t>
            </w:r>
          </w:p>
        </w:tc>
        <w:tc>
          <w:tcPr>
            <w:tcW w:type="dxa" w:w="4320"/>
          </w:tcPr>
          <w:p>
            <w:r>
              <w:t>Internal Use - Government Stakeholders</w:t>
            </w:r>
          </w:p>
        </w:tc>
      </w:tr>
      <w:tr>
        <w:tc>
          <w:tcPr>
            <w:tcW w:type="dxa" w:w="4320"/>
          </w:tcPr>
          <w:p>
            <w:r>
              <w:rPr>
                <w:b/>
              </w:rPr>
              <w:t>Geographic Coverage:</w:t>
            </w:r>
          </w:p>
        </w:tc>
        <w:tc>
          <w:tcPr>
            <w:tcW w:type="dxa" w:w="4320"/>
          </w:tcPr>
          <w:p>
            <w:r>
              <w:t>France, Spain, Germany</w:t>
            </w:r>
          </w:p>
        </w:tc>
      </w:tr>
      <w:tr>
        <w:tc>
          <w:tcPr>
            <w:tcW w:type="dxa" w:w="4320"/>
          </w:tcPr>
          <w:p>
            <w:r>
              <w:rPr>
                <w:b/>
              </w:rPr>
              <w:t>Sample Size:</w:t>
            </w:r>
          </w:p>
        </w:tc>
        <w:tc>
          <w:tcPr>
            <w:tcW w:type="dxa" w:w="4320"/>
          </w:tcPr>
          <w:p>
            <w:r>
              <w:t>10,000 customers</w:t>
            </w:r>
          </w:p>
        </w:tc>
      </w:tr>
    </w:tbl>
    <w:p/>
    <w:p/>
    <w:p>
      <w:pPr>
        <w:pStyle w:val="Heading1"/>
      </w:pPr>
      <w:r>
        <w:t>Situation at a Glance</w:t>
      </w:r>
    </w:p>
    <w:p>
      <w:r>
        <w:t>Customer churn in European banking operations stands at 20.4%, with 2,037 customers exiting annually. Geographic analysis reveals significant market variation, with Germany experiencing 32.4% churn compared to France's 16.2%. High-value customers (€100k+ balances) represent €159,489,691 in immediate financial risk.</w:t>
      </w:r>
    </w:p>
    <w:p/>
    <w:p>
      <w:pPr>
        <w:pStyle w:val="Heading1"/>
      </w:pPr>
      <w:r>
        <w:t>Critical Findings</w:t>
      </w:r>
    </w:p>
    <w:tbl>
      <w:tblPr>
        <w:tblStyle w:val="MediumShading1-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Finding</w:t>
            </w:r>
          </w:p>
        </w:tc>
      </w:tr>
      <w:tr>
        <w:tc>
          <w:tcPr>
            <w:tcW w:type="dxa" w:w="4320"/>
          </w:tcPr>
          <w:p>
            <w:r>
              <w:t>Overall Churn Rate</w:t>
            </w:r>
          </w:p>
        </w:tc>
        <w:tc>
          <w:tcPr>
            <w:tcW w:type="dxa" w:w="4320"/>
          </w:tcPr>
          <w:p>
            <w:r>
              <w:t>20.4% (2,037 customers annually)</w:t>
            </w:r>
          </w:p>
        </w:tc>
      </w:tr>
      <w:tr>
        <w:tc>
          <w:tcPr>
            <w:tcW w:type="dxa" w:w="4320"/>
          </w:tcPr>
          <w:p>
            <w:r>
              <w:t>Geographic Disparity</w:t>
            </w:r>
          </w:p>
        </w:tc>
        <w:tc>
          <w:tcPr>
            <w:tcW w:type="dxa" w:w="4320"/>
          </w:tcPr>
          <w:p>
            <w:r>
              <w:t>16.3 percentage point gap between Germany (32.4%) and France (16.2%)</w:t>
            </w:r>
          </w:p>
        </w:tc>
      </w:tr>
      <w:tr>
        <w:tc>
          <w:tcPr>
            <w:tcW w:type="dxa" w:w="4320"/>
          </w:tcPr>
          <w:p>
            <w:r>
              <w:t>Engagement Impact</w:t>
            </w:r>
          </w:p>
        </w:tc>
        <w:tc>
          <w:tcPr>
            <w:tcW w:type="dxa" w:w="4320"/>
          </w:tcPr>
          <w:p>
            <w:r>
              <w:t>Inactive customers churn at 26.9% vs 14.3% for active</w:t>
            </w:r>
          </w:p>
        </w:tc>
      </w:tr>
      <w:tr>
        <w:tc>
          <w:tcPr>
            <w:tcW w:type="dxa" w:w="4320"/>
          </w:tcPr>
          <w:p>
            <w:r>
              <w:t>Financial Exposure</w:t>
            </w:r>
          </w:p>
        </w:tc>
        <w:tc>
          <w:tcPr>
            <w:tcW w:type="dxa" w:w="4320"/>
          </w:tcPr>
          <w:p>
            <w:r>
              <w:t>€159,489,691 at risk from 1211 churned high-value customers</w:t>
            </w:r>
          </w:p>
        </w:tc>
      </w:tr>
    </w:tbl>
    <w:p/>
    <w:p>
      <w:pPr>
        <w:pStyle w:val="Heading1"/>
      </w:pPr>
      <w:r>
        <w:t>Strategic Implications for Policy</w:t>
      </w:r>
    </w:p>
    <w:p/>
    <w:p>
      <w:pPr>
        <w:pStyle w:val="ListNumber"/>
      </w:pPr>
      <w:r>
        <w:t>1. Market Stability Concerns</w:t>
      </w:r>
    </w:p>
    <w:p>
      <w:r>
        <w:t>The 16.3 percentage point churn differential across geographic markets suggests underlying competitive or regulatory disparities requiring investigation. High churn rates in certain markets may indicate consumer protection issues or market failures.</w:t>
      </w:r>
    </w:p>
    <w:p/>
    <w:p>
      <w:pPr>
        <w:pStyle w:val="ListNumber"/>
      </w:pPr>
      <w:r>
        <w:t>2. Consumer Protection Angle</w:t>
      </w:r>
    </w:p>
    <w:p>
      <w:r>
        <w:t>With 2,037 customers annually switching banks, transaction costs and information asymmetries may be creating inefficiencies. This level of churn could signal inadequate consumer safeguards or predatory practices in certain markets.</w:t>
      </w:r>
    </w:p>
    <w:p/>
    <w:p>
      <w:pPr>
        <w:pStyle w:val="ListNumber"/>
      </w:pPr>
      <w:r>
        <w:t>3. Financial System Resilience</w:t>
      </w:r>
    </w:p>
    <w:p>
      <w:r>
        <w:t>€159,489,691 in high-value customer balances moving between institutions creates liquidity management challenges. Concentrated churn events could pose systemic risks, particularly in smaller regional markets.</w:t>
      </w:r>
    </w:p>
    <w:p/>
    <w:p>
      <w:pPr>
        <w:pStyle w:val="ListNumber"/>
      </w:pPr>
      <w:r>
        <w:t>4. Demographic Equity</w:t>
      </w:r>
    </w:p>
    <w:p>
      <w:r>
        <w:t>Age-based churn variation (highest: 49.4% for Senior (45-60)) suggests potential financial inclusion gaps. Vulnerable demographics may lack suitable product alternatives or face switching barriers.</w:t>
      </w:r>
    </w:p>
    <w:p/>
    <w:p>
      <w:pPr>
        <w:pStyle w:val="Heading1"/>
      </w:pPr>
      <w:r>
        <w:t>Policy Recommendations</w:t>
      </w:r>
    </w:p>
    <w:p/>
    <w:p>
      <w:pPr>
        <w:pStyle w:val="Heading2"/>
      </w:pPr>
      <w:r>
        <w:t>Short-Term Actions (0-6 Months):</w:t>
      </w:r>
    </w:p>
    <w:p>
      <w:pPr>
        <w:pStyle w:val="ListBullet"/>
      </w:pPr>
      <w:r>
        <w:t>• Commission market study to investigate geographic churn disparities</w:t>
      </w:r>
    </w:p>
    <w:p>
      <w:pPr>
        <w:pStyle w:val="ListBullet"/>
      </w:pPr>
      <w:r>
        <w:t>• Review consumer protection regulations in high-churn markets</w:t>
      </w:r>
    </w:p>
    <w:p>
      <w:pPr>
        <w:pStyle w:val="ListBullet"/>
      </w:pPr>
      <w:r>
        <w:t>• Establish interbank working group on customer retention best practices</w:t>
      </w:r>
    </w:p>
    <w:p>
      <w:pPr>
        <w:pStyle w:val="ListBullet"/>
      </w:pPr>
      <w:r>
        <w:t>• Monitor high-value customer movements for systemic risk indicators</w:t>
      </w:r>
    </w:p>
    <w:p/>
    <w:p>
      <w:pPr>
        <w:pStyle w:val="Heading2"/>
      </w:pPr>
      <w:r>
        <w:t>Medium-Term Initiatives (6-18 Months):</w:t>
      </w:r>
    </w:p>
    <w:p>
      <w:pPr>
        <w:pStyle w:val="ListBullet"/>
      </w:pPr>
      <w:r>
        <w:t>• Develop standardized customer satisfaction metrics across EU banking sector</w:t>
      </w:r>
    </w:p>
    <w:p>
      <w:pPr>
        <w:pStyle w:val="ListBullet"/>
      </w:pPr>
      <w:r>
        <w:t>• Implement account portability improvements to reduce switching friction</w:t>
      </w:r>
    </w:p>
    <w:p>
      <w:pPr>
        <w:pStyle w:val="ListBullet"/>
      </w:pPr>
      <w:r>
        <w:t>• Launch financial literacy programs targeting vulnerable age demographics</w:t>
      </w:r>
    </w:p>
    <w:p>
      <w:pPr>
        <w:pStyle w:val="ListBullet"/>
      </w:pPr>
      <w:r>
        <w:t>• Create regulatory framework for proactive customer retention practices</w:t>
      </w:r>
    </w:p>
    <w:p/>
    <w:p>
      <w:pPr>
        <w:pStyle w:val="Heading2"/>
      </w:pPr>
      <w:r>
        <w:t>Long-Term Strategic Direction (18+ Months):</w:t>
      </w:r>
    </w:p>
    <w:p>
      <w:pPr>
        <w:pStyle w:val="ListBullet"/>
      </w:pPr>
      <w:r>
        <w:t>• Harmonize banking regulations across markets to reduce competitive distortions</w:t>
      </w:r>
    </w:p>
    <w:p>
      <w:pPr>
        <w:pStyle w:val="ListBullet"/>
      </w:pPr>
      <w:r>
        <w:t>• Establish early warning system for banking sector stability monitoring</w:t>
      </w:r>
    </w:p>
    <w:p>
      <w:pPr>
        <w:pStyle w:val="ListBullet"/>
      </w:pPr>
      <w:r>
        <w:t>• Promote open banking initiatives to enhance consumer choice and competition</w:t>
      </w:r>
    </w:p>
    <w:p/>
    <w:p>
      <w:pPr>
        <w:pStyle w:val="Heading1"/>
      </w:pPr>
      <w:r>
        <w:t>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Severity</w:t>
            </w:r>
          </w:p>
        </w:tc>
        <w:tc>
          <w:tcPr>
            <w:tcW w:type="dxa" w:w="2880"/>
          </w:tcPr>
          <w:p>
            <w:r>
              <w:t>Mitigation Priority</w:t>
            </w:r>
          </w:p>
        </w:tc>
      </w:tr>
      <w:tr>
        <w:tc>
          <w:tcPr>
            <w:tcW w:type="dxa" w:w="2880"/>
          </w:tcPr>
          <w:p>
            <w:r>
              <w:t>Market Concentration</w:t>
            </w:r>
          </w:p>
        </w:tc>
        <w:tc>
          <w:tcPr>
            <w:tcW w:type="dxa" w:w="2880"/>
          </w:tcPr>
          <w:p>
            <w:r>
              <w:t>MEDIUM</w:t>
            </w:r>
          </w:p>
        </w:tc>
        <w:tc>
          <w:tcPr>
            <w:tcW w:type="dxa" w:w="2880"/>
          </w:tcPr>
          <w:p>
            <w:r>
              <w:t>HIGH</w:t>
            </w:r>
          </w:p>
        </w:tc>
      </w:tr>
      <w:tr>
        <w:tc>
          <w:tcPr>
            <w:tcW w:type="dxa" w:w="2880"/>
          </w:tcPr>
          <w:p>
            <w:r>
              <w:t>Consumer Protection</w:t>
            </w:r>
          </w:p>
        </w:tc>
        <w:tc>
          <w:tcPr>
            <w:tcW w:type="dxa" w:w="2880"/>
          </w:tcPr>
          <w:p>
            <w:r>
              <w:t>MEDIUM-HIGH</w:t>
            </w:r>
          </w:p>
        </w:tc>
        <w:tc>
          <w:tcPr>
            <w:tcW w:type="dxa" w:w="2880"/>
          </w:tcPr>
          <w:p>
            <w:r>
              <w:t>HIGH</w:t>
            </w:r>
          </w:p>
        </w:tc>
      </w:tr>
      <w:tr>
        <w:tc>
          <w:tcPr>
            <w:tcW w:type="dxa" w:w="2880"/>
          </w:tcPr>
          <w:p>
            <w:r>
              <w:t>Financial Stability</w:t>
            </w:r>
          </w:p>
        </w:tc>
        <w:tc>
          <w:tcPr>
            <w:tcW w:type="dxa" w:w="2880"/>
          </w:tcPr>
          <w:p>
            <w:r>
              <w:t>LOW-MEDIUM</w:t>
            </w:r>
          </w:p>
        </w:tc>
        <w:tc>
          <w:tcPr>
            <w:tcW w:type="dxa" w:w="2880"/>
          </w:tcPr>
          <w:p>
            <w:r>
              <w:t>MEDIUM</w:t>
            </w:r>
          </w:p>
        </w:tc>
      </w:tr>
    </w:tbl>
    <w:p/>
    <w:p>
      <w:pPr>
        <w:pStyle w:val="Heading1"/>
      </w:pPr>
      <w:r>
        <w:t>Recommended Next Steps</w:t>
      </w:r>
    </w:p>
    <w:p>
      <w:pPr>
        <w:pStyle w:val="ListNumber"/>
      </w:pPr>
      <w:r>
        <w:t>1. Convene stakeholder roundtable with banking executives, consumer advocates, and regulators</w:t>
      </w:r>
    </w:p>
    <w:p>
      <w:pPr>
        <w:pStyle w:val="ListNumber"/>
      </w:pPr>
      <w:r>
        <w:t>2. Request detailed market analysis from national banking authorities in high-churn regions</w:t>
      </w:r>
    </w:p>
    <w:p>
      <w:pPr>
        <w:pStyle w:val="ListNumber"/>
      </w:pPr>
      <w:r>
        <w:t>3. Initiate pilot program for enhanced customer protection in vulnerable segments</w:t>
      </w:r>
    </w:p>
    <w:p>
      <w:pPr>
        <w:pStyle w:val="ListNumber"/>
      </w:pPr>
      <w:r>
        <w:t>4. Establish quarterly monitoring of key churn metrics across European markets</w:t>
      </w:r>
    </w:p>
    <w:p/>
    <w:p/>
    <w:p>
      <w:pPr>
        <w:jc w:val="center"/>
      </w:pPr>
      <w:r>
        <w:rPr>
          <w:color w:val="808080"/>
        </w:rPr>
        <w:t>___________________________</w:t>
        <w:br/>
        <w:br/>
      </w:r>
    </w:p>
    <w:p>
      <w:pPr>
        <w:jc w:val="center"/>
      </w:pPr>
      <w:r>
        <w:rPr>
          <w:color w:val="808080"/>
          <w:sz w:val="18"/>
        </w:rPr>
        <w:t>For questions or additional analysis, please contact:</w:t>
        <w:br/>
        <w:t>Banking Analytics Division</w:t>
        <w:br/>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8"/>
      </w:rPr>
      <w:t>CONFIDENTIAL - For Government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